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733" w:rsidRDefault="00CB0727" w:rsidP="00670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B1A14">
        <w:rPr>
          <w:rFonts w:ascii="Times New Roman" w:eastAsia="Times New Roman" w:hAnsi="Times New Roman" w:cs="Times New Roman"/>
          <w:b/>
          <w:bCs/>
          <w:sz w:val="28"/>
          <w:szCs w:val="28"/>
        </w:rPr>
        <w:t>б утверждении</w:t>
      </w: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2F0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B1A14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B2F0A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EB1A14">
        <w:rPr>
          <w:rFonts w:ascii="Times New Roman" w:eastAsia="Times New Roman" w:hAnsi="Times New Roman" w:cs="Times New Roman"/>
          <w:b/>
          <w:bCs/>
          <w:sz w:val="28"/>
          <w:szCs w:val="28"/>
        </w:rPr>
        <w:t>ядка определения вида</w:t>
      </w:r>
    </w:p>
    <w:p w:rsidR="00EB1A14" w:rsidRDefault="00EB1A14" w:rsidP="00670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фактического использования зданий</w:t>
      </w:r>
    </w:p>
    <w:p w:rsidR="00EB1A14" w:rsidRDefault="00EB1A14" w:rsidP="00670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(строений, сооружений) и помещений</w:t>
      </w:r>
    </w:p>
    <w:p w:rsidR="004B2F0A" w:rsidRPr="00CB0727" w:rsidRDefault="00EB1A14" w:rsidP="00670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целей налогообложения</w:t>
      </w:r>
    </w:p>
    <w:p w:rsidR="00CB0727" w:rsidRPr="00CB0727" w:rsidRDefault="00CB0727" w:rsidP="00CB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727" w:rsidRPr="00680E31" w:rsidRDefault="00CB0727" w:rsidP="00680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4B2F0A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EB1A14">
        <w:rPr>
          <w:rFonts w:ascii="Times New Roman" w:eastAsia="Calibri" w:hAnsi="Times New Roman" w:cs="Times New Roman"/>
          <w:sz w:val="28"/>
          <w:szCs w:val="28"/>
          <w:lang w:eastAsia="ar-SA"/>
        </w:rPr>
        <w:t>оответствии с пунктом 9 статьи 378.2 Налогового кодекса Российской Федерации</w:t>
      </w:r>
      <w:r w:rsidR="00D501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законом Воронежской области от 25.11.2016 </w:t>
      </w:r>
      <w:r w:rsidR="00AB672E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D501A5">
        <w:rPr>
          <w:rFonts w:ascii="Times New Roman" w:eastAsia="Calibri" w:hAnsi="Times New Roman" w:cs="Times New Roman"/>
          <w:sz w:val="28"/>
          <w:szCs w:val="28"/>
          <w:lang w:eastAsia="ar-SA"/>
        </w:rPr>
        <w:t>№ 62-ОЗ «О налоге на имущество организаций»</w:t>
      </w:r>
      <w:r w:rsidR="00EB1A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правительство Воронежско</w:t>
      </w:r>
      <w:r w:rsidR="002D03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области </w:t>
      </w:r>
      <w:r w:rsidR="00680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spellEnd"/>
      <w:proofErr w:type="gramEnd"/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</w:t>
      </w:r>
      <w:proofErr w:type="spellStart"/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в л я е т:</w:t>
      </w:r>
    </w:p>
    <w:p w:rsidR="00D501A5" w:rsidRDefault="00CB0727" w:rsidP="00027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8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501A5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bookmarkStart w:id="1" w:name="_Hlk96608491"/>
      <w:r w:rsidR="00D501A5">
        <w:rPr>
          <w:rFonts w:ascii="Times New Roman" w:eastAsia="Times New Roman" w:hAnsi="Times New Roman" w:cs="Times New Roman"/>
          <w:sz w:val="28"/>
          <w:szCs w:val="28"/>
        </w:rPr>
        <w:t xml:space="preserve">определения </w:t>
      </w:r>
      <w:bookmarkStart w:id="2" w:name="_Hlk95816033"/>
      <w:r w:rsidR="00D501A5">
        <w:rPr>
          <w:rFonts w:ascii="Times New Roman" w:eastAsia="Times New Roman" w:hAnsi="Times New Roman" w:cs="Times New Roman"/>
          <w:sz w:val="28"/>
          <w:szCs w:val="28"/>
        </w:rPr>
        <w:t>вида фактического использования зданий (строений, сооружений) и помещений в целях налогообложения согласно приложению</w:t>
      </w:r>
      <w:bookmarkEnd w:id="1"/>
      <w:r w:rsidR="00D501A5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:rsidR="00C97E31" w:rsidRPr="00661974" w:rsidRDefault="00C80854" w:rsidP="00027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E3F73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органам местного самоуправления муниципальных районов (городских округов) Воронежской области </w:t>
      </w:r>
      <w:r w:rsidR="009200AA" w:rsidRPr="00C80854">
        <w:rPr>
          <w:rFonts w:ascii="Times New Roman" w:eastAsia="Times New Roman" w:hAnsi="Times New Roman" w:cs="Times New Roman"/>
          <w:sz w:val="28"/>
          <w:szCs w:val="28"/>
        </w:rPr>
        <w:t>руководствоваться Порядком</w:t>
      </w:r>
      <w:r w:rsidR="009200AA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вида фактического использования зданий (строений, сооружений) и помещений в целях налогообложения при </w:t>
      </w:r>
      <w:r w:rsidR="008E3F73">
        <w:rPr>
          <w:rFonts w:ascii="Times New Roman" w:eastAsia="Times New Roman" w:hAnsi="Times New Roman" w:cs="Times New Roman"/>
          <w:sz w:val="28"/>
          <w:szCs w:val="28"/>
        </w:rPr>
        <w:t>оказ</w:t>
      </w:r>
      <w:r w:rsidR="009200AA">
        <w:rPr>
          <w:rFonts w:ascii="Times New Roman" w:eastAsia="Times New Roman" w:hAnsi="Times New Roman" w:cs="Times New Roman"/>
          <w:sz w:val="28"/>
          <w:szCs w:val="28"/>
        </w:rPr>
        <w:t>ании</w:t>
      </w:r>
      <w:r w:rsidR="008E3F73">
        <w:rPr>
          <w:rFonts w:ascii="Times New Roman" w:eastAsia="Times New Roman" w:hAnsi="Times New Roman" w:cs="Times New Roman"/>
          <w:sz w:val="28"/>
          <w:szCs w:val="28"/>
        </w:rPr>
        <w:t xml:space="preserve"> содействи</w:t>
      </w:r>
      <w:r w:rsidR="009200A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E3F7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имущественных и земельных отношений Воронежской области в организаци</w:t>
      </w:r>
      <w:r w:rsidR="00C97E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3F73">
        <w:rPr>
          <w:rFonts w:ascii="Times New Roman" w:eastAsia="Times New Roman" w:hAnsi="Times New Roman" w:cs="Times New Roman"/>
          <w:sz w:val="28"/>
          <w:szCs w:val="28"/>
        </w:rPr>
        <w:t xml:space="preserve"> и проведени</w:t>
      </w:r>
      <w:r w:rsidR="00C97E31">
        <w:rPr>
          <w:rFonts w:ascii="Times New Roman" w:eastAsia="Times New Roman" w:hAnsi="Times New Roman" w:cs="Times New Roman"/>
          <w:sz w:val="28"/>
          <w:szCs w:val="28"/>
        </w:rPr>
        <w:t xml:space="preserve">и мероприятий по </w:t>
      </w:r>
      <w:r w:rsidR="00C97E31" w:rsidRPr="00C97E31">
        <w:rPr>
          <w:rFonts w:ascii="Times New Roman" w:eastAsia="Times New Roman" w:hAnsi="Times New Roman" w:cs="Times New Roman"/>
          <w:sz w:val="28"/>
          <w:szCs w:val="28"/>
        </w:rPr>
        <w:t>определению вида фактического использования зданий (строений, сооружений) и помещений в целях налогообложения</w:t>
      </w:r>
      <w:r w:rsidR="00C97E31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формированию перечня объектов</w:t>
      </w:r>
      <w:r w:rsidR="006619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61412" w:rsidRPr="00CB0727" w:rsidRDefault="00C80854" w:rsidP="00A61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671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1D3DCA"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1D3DCA"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C97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</w:t>
      </w:r>
      <w:r w:rsidR="00A61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</w:t>
      </w:r>
      <w:r w:rsidR="00B61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губернатора </w:t>
      </w:r>
      <w:r w:rsidR="00CB0727"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Воронежской</w:t>
      </w:r>
      <w:r w:rsidR="00B61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 </w:t>
      </w:r>
      <w:r w:rsidR="00A614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первого заместителя председателя правительства Воронежской области </w:t>
      </w:r>
      <w:proofErr w:type="spellStart"/>
      <w:r w:rsidR="00A61412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Шабалатова</w:t>
      </w:r>
      <w:proofErr w:type="spellEnd"/>
      <w:r w:rsidR="00680E31" w:rsidRPr="00680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0E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В.А. </w:t>
      </w:r>
    </w:p>
    <w:p w:rsidR="00CB0727" w:rsidRP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AB672E" w:rsidRDefault="00AB672E" w:rsidP="00AB672E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 xml:space="preserve">         Губернатор </w:t>
      </w:r>
    </w:p>
    <w:p w:rsidR="00CB0727" w:rsidRDefault="00AB672E" w:rsidP="00AB672E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>Воронежской области</w:t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</w:r>
      <w:r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tab/>
        <w:t>А.В. Гусев</w:t>
      </w:r>
    </w:p>
    <w:p w:rsidR="00751EB0" w:rsidRDefault="00751EB0" w:rsidP="00AB672E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680E31" w:rsidRDefault="00680E31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680E31" w:rsidRDefault="00680E31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680E31" w:rsidRDefault="00680E31" w:rsidP="00F35115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0F6904" w:rsidRDefault="000F6904" w:rsidP="000F690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55D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0F6904" w:rsidRPr="006455D6" w:rsidRDefault="000F6904" w:rsidP="000F690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F6904" w:rsidRPr="006455D6" w:rsidRDefault="000F6904" w:rsidP="000F690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55D6">
        <w:rPr>
          <w:rFonts w:ascii="Times New Roman" w:hAnsi="Times New Roman" w:cs="Times New Roman"/>
          <w:b w:val="0"/>
          <w:sz w:val="28"/>
          <w:szCs w:val="28"/>
        </w:rPr>
        <w:t>Утвержден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</w:p>
    <w:p w:rsidR="000F6904" w:rsidRPr="006455D6" w:rsidRDefault="000F6904" w:rsidP="000F690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55D6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0F6904" w:rsidRPr="006455D6" w:rsidRDefault="000F6904" w:rsidP="000F690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455D6">
        <w:rPr>
          <w:rFonts w:ascii="Times New Roman" w:hAnsi="Times New Roman" w:cs="Times New Roman"/>
          <w:b w:val="0"/>
          <w:sz w:val="28"/>
          <w:szCs w:val="28"/>
        </w:rPr>
        <w:t>правительства Воронежской области</w:t>
      </w:r>
    </w:p>
    <w:p w:rsidR="000F6904" w:rsidRPr="0081180E" w:rsidRDefault="000F6904" w:rsidP="000F690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6455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Pr="006455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№___</w:t>
      </w:r>
    </w:p>
    <w:p w:rsidR="000F6904" w:rsidRDefault="000F6904" w:rsidP="000F69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904" w:rsidRDefault="000F6904" w:rsidP="000F69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904" w:rsidRDefault="000F6904" w:rsidP="000F69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6904" w:rsidRDefault="000F6904" w:rsidP="000F69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1A90">
        <w:rPr>
          <w:rFonts w:ascii="Times New Roman" w:hAnsi="Times New Roman" w:cs="Times New Roman"/>
          <w:sz w:val="28"/>
          <w:szCs w:val="28"/>
        </w:rPr>
        <w:t xml:space="preserve">ПОРЯДОК ОПРЕДЕЛЕНИЯ ВИДА </w:t>
      </w:r>
    </w:p>
    <w:p w:rsidR="000F6904" w:rsidRPr="002B1A90" w:rsidRDefault="000F6904" w:rsidP="000F69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1A90">
        <w:rPr>
          <w:rFonts w:ascii="Times New Roman" w:hAnsi="Times New Roman" w:cs="Times New Roman"/>
          <w:sz w:val="28"/>
          <w:szCs w:val="28"/>
        </w:rPr>
        <w:t>ФАКТИЧЕСКОГО ИСПОЛЬЗОВАНИЯ ЗДАНИЙ</w:t>
      </w:r>
    </w:p>
    <w:p w:rsidR="000F6904" w:rsidRPr="002B1A90" w:rsidRDefault="000F6904" w:rsidP="000F69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1A90">
        <w:rPr>
          <w:rFonts w:ascii="Times New Roman" w:hAnsi="Times New Roman" w:cs="Times New Roman"/>
          <w:sz w:val="28"/>
          <w:szCs w:val="28"/>
        </w:rPr>
        <w:t>(СТРОЕНИЙ, СООРУЖЕНИЙ) И ПОМЕЩЕНИЙ ДЛЯ ЦЕЛЕЙ НАЛОГООБЛОЖЕНИЯ</w:t>
      </w:r>
    </w:p>
    <w:p w:rsidR="000F6904" w:rsidRPr="002B1A90" w:rsidRDefault="000F6904" w:rsidP="000F6904">
      <w:pPr>
        <w:spacing w:after="1"/>
        <w:rPr>
          <w:rFonts w:ascii="Times New Roman" w:hAnsi="Times New Roman"/>
          <w:sz w:val="28"/>
          <w:szCs w:val="28"/>
        </w:rPr>
      </w:pPr>
    </w:p>
    <w:p w:rsidR="000F690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1A9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B1A90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определения вида фактического использования зданий (строений, сооружений) и помещений для целей налогообложения (далее - Порядок) разработан на основании </w:t>
      </w:r>
      <w:hyperlink r:id="rId8" w:history="1">
        <w:r w:rsidRPr="002B1A90">
          <w:rPr>
            <w:rFonts w:ascii="Times New Roman" w:hAnsi="Times New Roman" w:cs="Times New Roman"/>
            <w:b w:val="0"/>
            <w:sz w:val="28"/>
            <w:szCs w:val="28"/>
          </w:rPr>
          <w:t>пункта 9 статьи 378.2</w:t>
        </w:r>
      </w:hyperlink>
      <w:r w:rsidRPr="002B1A90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 Российской Федерации в целях установления вида фактического использования зданий (строений, сооружений) и помещений, указанных в </w:t>
      </w:r>
      <w:hyperlink r:id="rId9" w:history="1">
        <w:r w:rsidRPr="002B1A90">
          <w:rPr>
            <w:rFonts w:ascii="Times New Roman" w:hAnsi="Times New Roman" w:cs="Times New Roman"/>
            <w:b w:val="0"/>
            <w:sz w:val="28"/>
            <w:szCs w:val="28"/>
          </w:rPr>
          <w:t>подпунктах 1</w:t>
        </w:r>
      </w:hyperlink>
      <w:r w:rsidRPr="002B1A9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0" w:history="1">
        <w:r w:rsidRPr="002B1A90">
          <w:rPr>
            <w:rFonts w:ascii="Times New Roman" w:hAnsi="Times New Roman" w:cs="Times New Roman"/>
            <w:b w:val="0"/>
            <w:sz w:val="28"/>
            <w:szCs w:val="28"/>
          </w:rPr>
          <w:t>2 пункта 1 статьи 378.2</w:t>
        </w:r>
      </w:hyperlink>
      <w:r w:rsidRPr="002B1A90">
        <w:rPr>
          <w:rFonts w:ascii="Times New Roman" w:hAnsi="Times New Roman" w:cs="Times New Roman"/>
          <w:b w:val="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</w:t>
      </w:r>
      <w:proofErr w:type="gramEnd"/>
      <w:r w:rsidRPr="002B1A90">
        <w:rPr>
          <w:rFonts w:ascii="Times New Roman" w:hAnsi="Times New Roman" w:cs="Times New Roman"/>
          <w:b w:val="0"/>
          <w:sz w:val="28"/>
          <w:szCs w:val="28"/>
        </w:rPr>
        <w:t xml:space="preserve"> стоимость (далее – Объекты) и в соответствии с </w:t>
      </w:r>
      <w:proofErr w:type="gramStart"/>
      <w:r w:rsidRPr="002B1A90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Pr="002B1A90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2B1A90">
        <w:rPr>
          <w:rFonts w:ascii="Times New Roman" w:hAnsi="Times New Roman" w:cs="Times New Roman"/>
          <w:b w:val="0"/>
          <w:sz w:val="28"/>
          <w:szCs w:val="28"/>
        </w:rPr>
        <w:instrText>HYPERLINK "consultantplus://offline/ref=7843B54BEB03A2504CDE1BB2EA9A34C06AA99FB0E752D40DC13E5129947F4A2B192A0540B5FF8FE6E62121490EB50ED851A3093FE55745CD1990E0XDeDG"</w:instrText>
      </w:r>
      <w:r w:rsidRPr="002B1A90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2B1A90">
        <w:rPr>
          <w:rFonts w:ascii="Times New Roman" w:hAnsi="Times New Roman" w:cs="Times New Roman"/>
          <w:b w:val="0"/>
          <w:sz w:val="28"/>
          <w:szCs w:val="28"/>
        </w:rPr>
        <w:t>аконом</w:t>
      </w:r>
      <w:r w:rsidRPr="002B1A90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2B1A90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от 25.11.2016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B1A90">
        <w:rPr>
          <w:rFonts w:ascii="Times New Roman" w:hAnsi="Times New Roman" w:cs="Times New Roman"/>
          <w:b w:val="0"/>
          <w:sz w:val="28"/>
          <w:szCs w:val="28"/>
        </w:rPr>
        <w:t xml:space="preserve"> 62-ОЗ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B1A90">
        <w:rPr>
          <w:rFonts w:ascii="Times New Roman" w:hAnsi="Times New Roman" w:cs="Times New Roman"/>
          <w:b w:val="0"/>
          <w:sz w:val="28"/>
          <w:szCs w:val="28"/>
        </w:rPr>
        <w:t>О налоге на имущество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A9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F6904" w:rsidRPr="00DC0A4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0A44">
        <w:rPr>
          <w:rFonts w:ascii="Times New Roman" w:hAnsi="Times New Roman" w:cs="Times New Roman"/>
          <w:b w:val="0"/>
          <w:sz w:val="28"/>
          <w:szCs w:val="28"/>
        </w:rPr>
        <w:t>2. В целях настоящего Порядка применяются следующие понятия:</w:t>
      </w:r>
    </w:p>
    <w:p w:rsidR="000F6904" w:rsidRPr="00DC0A4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0A44">
        <w:rPr>
          <w:rFonts w:ascii="Times New Roman" w:hAnsi="Times New Roman" w:cs="Times New Roman"/>
          <w:b w:val="0"/>
          <w:sz w:val="28"/>
          <w:szCs w:val="28"/>
        </w:rPr>
        <w:t>здание (строение, сооружение) признается предназначенным для использования в целях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 (далее - ЕГРН),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</w:t>
      </w:r>
      <w:proofErr w:type="gramEnd"/>
      <w:r w:rsidRPr="00DC0A44">
        <w:rPr>
          <w:rFonts w:ascii="Times New Roman" w:hAnsi="Times New Roman" w:cs="Times New Roman"/>
          <w:b w:val="0"/>
          <w:sz w:val="28"/>
          <w:szCs w:val="28"/>
        </w:rPr>
        <w:t xml:space="preserve"> (включая централизованные приемные помещения, комнаты для проведения встреч, офисное </w:t>
      </w:r>
      <w:r w:rsidRPr="00DC0A44">
        <w:rPr>
          <w:rFonts w:ascii="Times New Roman" w:hAnsi="Times New Roman" w:cs="Times New Roman"/>
          <w:b w:val="0"/>
          <w:sz w:val="28"/>
          <w:szCs w:val="28"/>
        </w:rPr>
        <w:lastRenderedPageBreak/>
        <w:t>оборудование, парковки);</w:t>
      </w:r>
    </w:p>
    <w:p w:rsidR="000F6904" w:rsidRPr="00DC0A4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0A44">
        <w:rPr>
          <w:rFonts w:ascii="Times New Roman" w:hAnsi="Times New Roman" w:cs="Times New Roman"/>
          <w:b w:val="0"/>
          <w:sz w:val="28"/>
          <w:szCs w:val="28"/>
        </w:rPr>
        <w:t>офис и сопутствующая офисная инфраструктура - это нежилое здание (строение, сооружение) или часть нежилого здания (строения, сооружения), или нежилое помещение, или часть нежилого помещения, оснащенные мебелью, организационной техникой, средствами связи, используемые для не связанной с производством деятельности, включая прием посетителей, обработку и хранение документов, а также централизованные приемные помещения, комнаты для проведения встреч, помещения, используемые для размещения офисного оборудования, парковки;</w:t>
      </w:r>
      <w:proofErr w:type="gramEnd"/>
    </w:p>
    <w:p w:rsidR="000F6904" w:rsidRPr="00DC0A4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0A44">
        <w:rPr>
          <w:rFonts w:ascii="Times New Roman" w:hAnsi="Times New Roman" w:cs="Times New Roman"/>
          <w:b w:val="0"/>
          <w:sz w:val="28"/>
          <w:szCs w:val="28"/>
        </w:rPr>
        <w:t>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ЕГРН,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</w:t>
      </w:r>
      <w:proofErr w:type="gramEnd"/>
      <w:r w:rsidRPr="00DC0A44">
        <w:rPr>
          <w:rFonts w:ascii="Times New Roman" w:hAnsi="Times New Roman" w:cs="Times New Roman"/>
          <w:b w:val="0"/>
          <w:sz w:val="28"/>
          <w:szCs w:val="28"/>
        </w:rPr>
        <w:t xml:space="preserve"> питания и (или) объектов бытового обслуживания;</w:t>
      </w:r>
    </w:p>
    <w:p w:rsidR="000F6904" w:rsidRPr="00DC0A4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0A44">
        <w:rPr>
          <w:rFonts w:ascii="Times New Roman" w:hAnsi="Times New Roman" w:cs="Times New Roman"/>
          <w:b w:val="0"/>
          <w:sz w:val="28"/>
          <w:szCs w:val="28"/>
        </w:rPr>
        <w:t>торговый объект - это нежилое здание (строение, сооружение) или часть нежилого здания (строения, сооружения), или нежилое помещение, или часть нежилого помещения,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0F6904" w:rsidRPr="00DC0A4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0A44">
        <w:rPr>
          <w:rFonts w:ascii="Times New Roman" w:hAnsi="Times New Roman" w:cs="Times New Roman"/>
          <w:b w:val="0"/>
          <w:sz w:val="28"/>
          <w:szCs w:val="28"/>
        </w:rPr>
        <w:t xml:space="preserve">объект общественного питания - это нежилое здание (строение, сооружение) или часть нежилого здания (строения, сооружения), или нежилое помещение, или часть нежилого помещения, используемые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</w:t>
      </w:r>
      <w:r w:rsidRPr="00DC0A4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изготовления, так и </w:t>
      </w:r>
      <w:proofErr w:type="gramStart"/>
      <w:r w:rsidRPr="00DC0A44">
        <w:rPr>
          <w:rFonts w:ascii="Times New Roman" w:hAnsi="Times New Roman" w:cs="Times New Roman"/>
          <w:b w:val="0"/>
          <w:sz w:val="28"/>
          <w:szCs w:val="28"/>
        </w:rPr>
        <w:t>вне</w:t>
      </w:r>
      <w:proofErr w:type="gramEnd"/>
      <w:r w:rsidRPr="00DC0A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C0A44">
        <w:rPr>
          <w:rFonts w:ascii="Times New Roman" w:hAnsi="Times New Roman" w:cs="Times New Roman"/>
          <w:b w:val="0"/>
          <w:sz w:val="28"/>
          <w:szCs w:val="28"/>
        </w:rPr>
        <w:t>его</w:t>
      </w:r>
      <w:proofErr w:type="gramEnd"/>
      <w:r w:rsidRPr="00DC0A44">
        <w:rPr>
          <w:rFonts w:ascii="Times New Roman" w:hAnsi="Times New Roman" w:cs="Times New Roman"/>
          <w:b w:val="0"/>
          <w:sz w:val="28"/>
          <w:szCs w:val="28"/>
        </w:rPr>
        <w:t xml:space="preserve"> по заказам, а также для оказания разнообразных дополнительных услуг;</w:t>
      </w:r>
    </w:p>
    <w:p w:rsidR="000F6904" w:rsidRPr="00DC0A4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0A44">
        <w:rPr>
          <w:rFonts w:ascii="Times New Roman" w:hAnsi="Times New Roman" w:cs="Times New Roman"/>
          <w:b w:val="0"/>
          <w:sz w:val="28"/>
          <w:szCs w:val="28"/>
        </w:rPr>
        <w:t>объект бытового обслуживания - это нежилое здание (строение, сооружение) или часть нежилого здания (строения, сооружения), или нежилое помещение, или часть нежилого помещения, используемые в целях оказания услуг (выполнения работ), направленных на удовлетворение конкретных бытовых потребностей индивидуального клиента или группы клиентов,</w:t>
      </w:r>
      <w:r w:rsidRPr="00DC0A44">
        <w:t xml:space="preserve"> </w:t>
      </w:r>
      <w:r w:rsidRPr="00DC0A44">
        <w:rPr>
          <w:rFonts w:ascii="Times New Roman" w:hAnsi="Times New Roman" w:cs="Times New Roman"/>
          <w:b w:val="0"/>
          <w:sz w:val="28"/>
          <w:szCs w:val="28"/>
        </w:rPr>
        <w:t>и обеспеченные необходимым оборудованием (например, ателье, мастерские, павильоны, салоны и пр.).</w:t>
      </w:r>
      <w:proofErr w:type="gramEnd"/>
    </w:p>
    <w:p w:rsidR="000F6904" w:rsidRPr="004D2599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0A44">
        <w:rPr>
          <w:rFonts w:ascii="Times New Roman" w:hAnsi="Times New Roman" w:cs="Times New Roman"/>
          <w:b w:val="0"/>
          <w:sz w:val="28"/>
          <w:szCs w:val="28"/>
        </w:rPr>
        <w:t>Понятия и термины, используемые в Порядке, применяются в значениях, определенных Налоговым кодексом Российской Федерации.</w:t>
      </w:r>
    </w:p>
    <w:p w:rsidR="000F6904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Start"/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Вид фактического использования Объектов определяется департаментом имущественных и земельных отношений Воронежской области (далее - Департамент) в соответствии с настоящим Порядком на основании результатов мероприятий по определению вида фактического использования объектов недвижимости, проведенных комиссией по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вопросам формирования </w:t>
      </w:r>
      <w:bookmarkStart w:id="3" w:name="_Hlk96081521"/>
      <w:r>
        <w:rPr>
          <w:rFonts w:ascii="Times New Roman" w:hAnsi="Times New Roman" w:cs="Times New Roman"/>
          <w:b w:val="0"/>
          <w:bCs/>
          <w:sz w:val="28"/>
          <w:szCs w:val="28"/>
        </w:rPr>
        <w:t>перечня объектов недвижимого имущества, в отношении которых налоговая база определяется как кадастровая стоимость</w:t>
      </w:r>
      <w:bookmarkEnd w:id="3"/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Комиссия) с учетом положений </w:t>
      </w:r>
      <w:hyperlink r:id="rId11" w:history="1">
        <w:r w:rsidRPr="002B1A90">
          <w:rPr>
            <w:rFonts w:ascii="Times New Roman" w:hAnsi="Times New Roman" w:cs="Times New Roman"/>
            <w:b w:val="0"/>
            <w:bCs/>
            <w:sz w:val="28"/>
            <w:szCs w:val="28"/>
          </w:rPr>
          <w:t>пунктов</w:t>
        </w:r>
      </w:hyperlink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 3-</w:t>
      </w:r>
      <w:hyperlink r:id="rId12" w:history="1">
        <w:r w:rsidRPr="002B1A90">
          <w:rPr>
            <w:rFonts w:ascii="Times New Roman" w:hAnsi="Times New Roman" w:cs="Times New Roman"/>
            <w:b w:val="0"/>
            <w:bCs/>
            <w:sz w:val="28"/>
            <w:szCs w:val="28"/>
          </w:rPr>
          <w:t xml:space="preserve">5 </w:t>
        </w:r>
        <w:r>
          <w:rPr>
            <w:rFonts w:ascii="Times New Roman" w:hAnsi="Times New Roman" w:cs="Times New Roman"/>
            <w:b w:val="0"/>
            <w:bCs/>
            <w:sz w:val="28"/>
            <w:szCs w:val="28"/>
          </w:rPr>
          <w:br/>
        </w:r>
        <w:r w:rsidRPr="002B1A90">
          <w:rPr>
            <w:rFonts w:ascii="Times New Roman" w:hAnsi="Times New Roman" w:cs="Times New Roman"/>
            <w:b w:val="0"/>
            <w:bCs/>
            <w:sz w:val="28"/>
            <w:szCs w:val="28"/>
          </w:rPr>
          <w:t>статьи 378.2</w:t>
        </w:r>
      </w:hyperlink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 Налогового кодекса</w:t>
      </w:r>
      <w:proofErr w:type="gramEnd"/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 Российской Федерации и </w:t>
      </w:r>
      <w:hyperlink r:id="rId13" w:history="1">
        <w:r w:rsidRPr="002B1A90">
          <w:rPr>
            <w:rFonts w:ascii="Times New Roman" w:hAnsi="Times New Roman" w:cs="Times New Roman"/>
            <w:b w:val="0"/>
            <w:bCs/>
            <w:sz w:val="28"/>
            <w:szCs w:val="28"/>
          </w:rPr>
          <w:t>статьи 1.1</w:t>
        </w:r>
      </w:hyperlink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 Воронежской области от 25.11.2016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 62-ОЗ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>О налоге на имущество организаций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0F6904" w:rsidRPr="00724897" w:rsidRDefault="000F6904" w:rsidP="000F6904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/>
          <w:color w:val="E36C0A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положение о Комиссии определяется приказом </w:t>
      </w:r>
      <w:r w:rsidRPr="002B1A90">
        <w:rPr>
          <w:rFonts w:ascii="Times New Roman" w:hAnsi="Times New Roman" w:cs="Times New Roman"/>
          <w:b w:val="0"/>
          <w:bCs/>
          <w:sz w:val="28"/>
          <w:szCs w:val="28"/>
        </w:rPr>
        <w:t>Департамента.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24897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состав Комиссий включаются сотрудники Департамента, сотрудники иных органов и организаций (по согласованию). Количество членов комиссии не может быть менее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пяти</w:t>
      </w:r>
      <w:r w:rsidRPr="00724897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0F6904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1A90">
        <w:rPr>
          <w:rFonts w:ascii="Times New Roman" w:hAnsi="Times New Roman" w:cs="Times New Roman"/>
          <w:sz w:val="28"/>
          <w:szCs w:val="28"/>
        </w:rPr>
        <w:t>. Определение вида фактического использования объектов недвижимости осуществляется в отношении следующих видов недвижимого имущества:</w:t>
      </w:r>
      <w:bookmarkStart w:id="4" w:name="P74"/>
      <w:bookmarkEnd w:id="4"/>
    </w:p>
    <w:p w:rsidR="000F6904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A90">
        <w:rPr>
          <w:rFonts w:ascii="Times New Roman" w:hAnsi="Times New Roman" w:cs="Times New Roman"/>
          <w:sz w:val="28"/>
          <w:szCs w:val="28"/>
        </w:rPr>
        <w:t xml:space="preserve">1) административно-деловые центры и торговые центры (комплексы) и </w:t>
      </w:r>
      <w:r w:rsidRPr="002B1A90">
        <w:rPr>
          <w:rFonts w:ascii="Times New Roman" w:hAnsi="Times New Roman" w:cs="Times New Roman"/>
          <w:sz w:val="28"/>
          <w:szCs w:val="28"/>
        </w:rPr>
        <w:lastRenderedPageBreak/>
        <w:t>помещения в них;</w:t>
      </w:r>
    </w:p>
    <w:p w:rsidR="000F6904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A90">
        <w:rPr>
          <w:rFonts w:ascii="Times New Roman" w:hAnsi="Times New Roman" w:cs="Times New Roman"/>
          <w:sz w:val="28"/>
          <w:szCs w:val="28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6904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B1A90">
        <w:rPr>
          <w:rFonts w:ascii="Times New Roman" w:hAnsi="Times New Roman" w:cs="Times New Roman"/>
          <w:sz w:val="28"/>
          <w:szCs w:val="28"/>
        </w:rPr>
        <w:t>. Мероприятия по определению вида фактического использования Объектов проводятся в форме: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A90">
        <w:rPr>
          <w:rFonts w:ascii="Times New Roman" w:hAnsi="Times New Roman" w:cs="Times New Roman"/>
          <w:sz w:val="28"/>
          <w:szCs w:val="28"/>
        </w:rPr>
        <w:t xml:space="preserve">межведомственного взаимодействия Департамента с государственными органами, органами местного самоуправления Воронежской области, </w:t>
      </w:r>
      <w:r w:rsidRPr="00EE52A5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- обследования объектов недвижимости.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6. Обследование с целью </w:t>
      </w:r>
      <w:proofErr w:type="gramStart"/>
      <w:r w:rsidRPr="00EE52A5">
        <w:rPr>
          <w:rFonts w:ascii="Times New Roman" w:hAnsi="Times New Roman" w:cs="Times New Roman"/>
          <w:sz w:val="28"/>
          <w:szCs w:val="28"/>
        </w:rPr>
        <w:t>определения вида фактического использования объектов недвижимости</w:t>
      </w:r>
      <w:proofErr w:type="gramEnd"/>
      <w:r w:rsidRPr="00EE52A5">
        <w:rPr>
          <w:rFonts w:ascii="Times New Roman" w:hAnsi="Times New Roman" w:cs="Times New Roman"/>
          <w:sz w:val="28"/>
          <w:szCs w:val="28"/>
        </w:rPr>
        <w:t xml:space="preserve"> проводится постоянно действующими рабочими группами, создаваемыми органами местного самоуправления муниципальных районов, городских округов Воронежской области, на территории которых находятся объекты недвижимости, на основании графика, формируемого в порядке п. 7 настоящего Порядка. В правовом акте о создании рабочей группы указываются сведения о членах рабочей группы, уполномоченных на проведение мероприятия по обследованию (фамилия, имя, отчество (при наличии), должность).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E52A5">
        <w:rPr>
          <w:rFonts w:ascii="Times New Roman" w:hAnsi="Times New Roman" w:cs="Times New Roman"/>
          <w:sz w:val="28"/>
          <w:szCs w:val="28"/>
        </w:rPr>
        <w:t xml:space="preserve">Подведомственное Департаменту государственное бюджетное учреждение Воронежской области «Центр государственной кадастровой оценки Воронежской области» (далее – Учреждение) на основании сведений, содержащихся в Едином государственном реестре недвижимости (далее – ЕГРН) о находящихся в собственности физических и юридических лиц нежилых зданиях (строениях, сооружениях) и помещениях в них, </w:t>
      </w:r>
      <w:r w:rsidRPr="00EE52A5">
        <w:rPr>
          <w:rFonts w:ascii="Times New Roman" w:hAnsi="Times New Roman" w:cs="Times New Roman"/>
          <w:sz w:val="28"/>
          <w:szCs w:val="28"/>
        </w:rPr>
        <w:lastRenderedPageBreak/>
        <w:t>ежемесячно формирует график обследования объектов, в отношении которых планируется осуществление обследования по определению вида фактического использования, который утверждается</w:t>
      </w:r>
      <w:proofErr w:type="gramEnd"/>
      <w:r w:rsidRPr="00EE52A5">
        <w:rPr>
          <w:rFonts w:ascii="Times New Roman" w:hAnsi="Times New Roman" w:cs="Times New Roman"/>
          <w:sz w:val="28"/>
          <w:szCs w:val="28"/>
        </w:rPr>
        <w:t xml:space="preserve"> приказом Департамента. В графике указываются сведения о кадастровом номере, наименовании и адресе (местонахождении) объектов недвижимости, в отношении которых проводится обследование, сроки проведения обследования.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8. График обследования объектов, в отношении которых планируется проведение обследования, не </w:t>
      </w:r>
      <w:proofErr w:type="gramStart"/>
      <w:r w:rsidRPr="00EE52A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E52A5">
        <w:rPr>
          <w:rFonts w:ascii="Times New Roman" w:hAnsi="Times New Roman" w:cs="Times New Roman"/>
          <w:sz w:val="28"/>
          <w:szCs w:val="28"/>
        </w:rPr>
        <w:t xml:space="preserve"> чем за 5 рабочих дней до начала их обследования размещается на официальном сайте Департамента в информационно-телекоммуникационной сети Интернет (далее – официальный сайт Департамента), а также направляется в орган местного самоуправления муниципального района, городского округа Воронежской области, на территории которого находятся объекты недвижимости.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9. При подготовке к проведению обследования рабочая группа использует информацию, содержащуюся в ЕГРН, документах технического учета (инвентаризации), сведения, содержащиеся в открытых источниках информации, включая сведения, содержащиеся в открытом доступе в информационно-телекоммуникационной сети Интернет.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2A5">
        <w:rPr>
          <w:rFonts w:ascii="Times New Roman" w:hAnsi="Times New Roman" w:cs="Times New Roman"/>
          <w:sz w:val="28"/>
          <w:szCs w:val="28"/>
        </w:rPr>
        <w:t>Для определения вида фактического использования зданий (строений, сооружений) и помещений рабочая группа вправе предложить правообладателям объектов недвижимости представить информацию об остаточной стоимости объекта недвижимости, правоустанавливающие документы на объект недвижимости (копии договоров купли-продажи, аренды, субаренды, безвозмездного пользования, доверительного управления и т.д.), техническую документацию на объект недвижимости (копии кадастрового паспорта, технического паспорта, поэтажного плана, экспликации).</w:t>
      </w:r>
      <w:proofErr w:type="gramEnd"/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Правообладателям объектов недвижимости рекомендуется не позднее десяти рабочих дней со дня получения мотивированного запроса представить в рабочую группу запрашиваемые документы.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lastRenderedPageBreak/>
        <w:t>Копии документов, направляемых в рабочую группу, заверяются печатью (при наличии печати) и подписью руководителя юридического лица или его уполномоченных представителей.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10. В целях обеспечения возможности участия правообладателя объекта недвижимого имущества или присутствия его представителя при проведении обследования такой правообладатель уведомляется рабочей группой о проведении обследования не </w:t>
      </w:r>
      <w:proofErr w:type="gramStart"/>
      <w:r w:rsidRPr="00EE52A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E52A5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его проведения любым доступным способом, позволяющим подтвердить факт получения уведомления.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11. При проведении обследования члены рабочей группы, уполномоченные на проведение мероприятия: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посещают объекты недвижимости, в отношении которых необходимо определить вид фактического использования, в случае свободного доступа в такие объекты;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2A5">
        <w:rPr>
          <w:rFonts w:ascii="Times New Roman" w:hAnsi="Times New Roman" w:cs="Times New Roman"/>
          <w:sz w:val="28"/>
          <w:szCs w:val="28"/>
        </w:rPr>
        <w:t>проводят визуальный внешний и внутренний осмотр объекта недвижимости;</w:t>
      </w:r>
      <w:proofErr w:type="gramEnd"/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2A5">
        <w:rPr>
          <w:rFonts w:ascii="Times New Roman" w:hAnsi="Times New Roman" w:cs="Times New Roman"/>
          <w:sz w:val="28"/>
          <w:szCs w:val="28"/>
        </w:rPr>
        <w:t>проводят фотосъемку (при необходимости - видеосъемку), фиксирующую фактическое использование здания (строения, сооружения) и нежилого помещения, а также фотосъемку (при необходимости - видеосъемку) рекламных конструкций, вывесок, информационных стендов с реквизитами организаций, осуществляющих деятельность в обследуемом здании (строении, сооружении) и помещении;</w:t>
      </w:r>
      <w:proofErr w:type="gramEnd"/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проводят измерение (обмер) объектов недвижимости (при необходимости).</w:t>
      </w:r>
    </w:p>
    <w:p w:rsidR="000F6904" w:rsidRPr="00EE52A5" w:rsidRDefault="000F6904" w:rsidP="000F6904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12. По результатам проведения обследования членами рабочей группы составляется акт обследования фактического использования здания (строения, сооружения) или нежилого помещения (далее – акт обследования) по форме согласно приложению к настоящему Порядку в срок не позднее 10 рабочих дней </w:t>
      </w:r>
      <w:proofErr w:type="gramStart"/>
      <w:r w:rsidRPr="00EE52A5">
        <w:rPr>
          <w:rFonts w:ascii="Times New Roman" w:hAnsi="Times New Roman" w:cs="Times New Roman"/>
          <w:sz w:val="28"/>
          <w:szCs w:val="28"/>
        </w:rPr>
        <w:t>с даты обследования</w:t>
      </w:r>
      <w:proofErr w:type="gramEnd"/>
      <w:r w:rsidRPr="00EE52A5">
        <w:rPr>
          <w:rFonts w:ascii="Times New Roman" w:hAnsi="Times New Roman" w:cs="Times New Roman"/>
          <w:sz w:val="28"/>
          <w:szCs w:val="28"/>
        </w:rPr>
        <w:t>.</w:t>
      </w:r>
    </w:p>
    <w:p w:rsidR="000F6904" w:rsidRPr="00EE52A5" w:rsidRDefault="000F6904" w:rsidP="000F6904">
      <w:pPr>
        <w:pStyle w:val="ConsPlusNormal"/>
        <w:tabs>
          <w:tab w:val="left" w:pos="993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lastRenderedPageBreak/>
        <w:t>13. В акте обследования отражается следующая информация: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дата и время проведения обследования;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место составления акта обследования;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фамилии, имена, отчества и должности лиц, проводивших обследование;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before="2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адрес обследуемого имущества;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кадастровый номер обследуемого объекта недвижимого имущества;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информация об обеспечении доступа для проведения обследования объекта недвижимого имущества;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общая площадь обследуемого объекта недвижимого имущества в соответствии со сведениями ЕГРН;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выявленные в ходе обследования признаки, свидетельствующие об использовании объекта недвижимого имущества в установленных целях;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информация о проценте площади объекта недвижимого имущества, используемого в установленных целях;</w:t>
      </w:r>
    </w:p>
    <w:p w:rsidR="000F6904" w:rsidRPr="00EE52A5" w:rsidRDefault="000F6904" w:rsidP="000F690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иная дополнительная информация.</w:t>
      </w:r>
    </w:p>
    <w:p w:rsidR="000F6904" w:rsidRPr="00EE52A5" w:rsidRDefault="000F6904" w:rsidP="000F6904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E52A5">
        <w:rPr>
          <w:rFonts w:ascii="Times New Roman" w:hAnsi="Times New Roman" w:cs="Times New Roman"/>
          <w:sz w:val="28"/>
          <w:szCs w:val="28"/>
        </w:rPr>
        <w:t>В случае если при проведении мероприятий по определению вида фактического использования зданий (строений, сооружений) и помещений возникли обстоятельства, препятствующие доступу членов рабочей группы в указанное здание (строение, сооружение) и помещение, вид фактического использования такого объекта определяется на основании данных его внешнего визуального осмотра, сведений, содержащихся в открытых источниках информации, включая сведения, содержащиеся в открытом доступе в информационно-телекоммуникационной сети Интернет, а</w:t>
      </w:r>
      <w:proofErr w:type="gramEnd"/>
      <w:r w:rsidRPr="00EE52A5">
        <w:rPr>
          <w:rFonts w:ascii="Times New Roman" w:hAnsi="Times New Roman" w:cs="Times New Roman"/>
          <w:sz w:val="28"/>
          <w:szCs w:val="28"/>
        </w:rPr>
        <w:t xml:space="preserve"> также информации, содержащейся в ЕГРН, документах технического учета (инвентаризации), в том числе на основании представленных правообладателями документов. Акт обследования оформляется с указанием на обстоятельства, препятствовавшие доступу в объекты недвижимости.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EE52A5">
        <w:rPr>
          <w:rFonts w:ascii="Times New Roman" w:hAnsi="Times New Roman" w:cs="Times New Roman"/>
          <w:sz w:val="28"/>
          <w:szCs w:val="28"/>
        </w:rPr>
        <w:t xml:space="preserve">15. Орган местного самоуправления до 20 числа ежемесячно </w:t>
      </w:r>
      <w:r w:rsidRPr="00EE52A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в Департамент перечень обследованных объектов недвижимого имущества и копии актов обследования с приложением соответствующих материалов обследования. 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Результаты обследования объектов недвижимости рассматриваются на заседании Комиссии. 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По результатам рассмотрения Комиссия дает рекомендации Департаменту по утверждению перечня объектов недвижимого имущества, в отношении которых определен вид фактического использования и подтверждено их фактическое использование для размещения офисов, торговых объектов, объектов общественного питания и (или) объектов бытового обслуживания (далее - перечень объектов, по которым подтверждено фактическое использование).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16. Протокол заседания комиссии об утверждении перечня объектов, по которым подтверждено фактическое использование, и копии актов обследования в течение пяти рабочих дней со дня заседания Комиссии подлежат опубликованию на сайте Департамента.</w:t>
      </w:r>
    </w:p>
    <w:p w:rsidR="000F6904" w:rsidRPr="00EE52A5" w:rsidRDefault="000F6904" w:rsidP="000F69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Правообладатель объекта недвижимости и (или) его уполномоченный представитель вправе ознакомиться с результатами обследования объектов недвижимости, в том числе материалами фот</w:t>
      </w:r>
      <w:proofErr w:type="gramStart"/>
      <w:r w:rsidRPr="00EE52A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52A5">
        <w:rPr>
          <w:rFonts w:ascii="Times New Roman" w:hAnsi="Times New Roman" w:cs="Times New Roman"/>
          <w:sz w:val="28"/>
          <w:szCs w:val="28"/>
        </w:rPr>
        <w:t xml:space="preserve"> и (или) видеосъемки объекта недвижимости, непосредственно в Комиссии или в Департаменте.</w:t>
      </w:r>
    </w:p>
    <w:p w:rsidR="000F6904" w:rsidRPr="00EE52A5" w:rsidRDefault="000F6904" w:rsidP="000F690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6904" w:rsidRPr="00EE52A5" w:rsidRDefault="000F6904" w:rsidP="000F6904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6904" w:rsidRPr="00EE52A5" w:rsidRDefault="000F6904" w:rsidP="000F6904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F6904" w:rsidRPr="00EE52A5" w:rsidRDefault="000F6904" w:rsidP="000F6904">
      <w:pPr>
        <w:pStyle w:val="ConsPlusNormal"/>
        <w:spacing w:before="2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Приложение</w:t>
      </w:r>
      <w:r w:rsidRPr="00EE52A5">
        <w:rPr>
          <w:rFonts w:ascii="Times New Roman" w:hAnsi="Times New Roman" w:cs="Times New Roman"/>
          <w:sz w:val="28"/>
          <w:szCs w:val="28"/>
        </w:rPr>
        <w:br/>
        <w:t>к Порядку определения вида</w:t>
      </w:r>
      <w:r w:rsidRPr="00EE52A5">
        <w:rPr>
          <w:rFonts w:ascii="Times New Roman" w:hAnsi="Times New Roman" w:cs="Times New Roman"/>
          <w:sz w:val="28"/>
          <w:szCs w:val="28"/>
        </w:rPr>
        <w:br/>
        <w:t>фактического использования зданий</w:t>
      </w:r>
      <w:r w:rsidRPr="00EE52A5">
        <w:rPr>
          <w:rFonts w:ascii="Times New Roman" w:hAnsi="Times New Roman" w:cs="Times New Roman"/>
          <w:sz w:val="28"/>
          <w:szCs w:val="28"/>
        </w:rPr>
        <w:br/>
        <w:t>     (строений, сооружений) и</w:t>
      </w:r>
      <w:r w:rsidRPr="00EE52A5">
        <w:rPr>
          <w:rFonts w:ascii="Times New Roman" w:hAnsi="Times New Roman" w:cs="Times New Roman"/>
          <w:sz w:val="28"/>
          <w:szCs w:val="28"/>
        </w:rPr>
        <w:br/>
        <w:t>помещений для целей налогообложения</w:t>
      </w:r>
    </w:p>
    <w:p w:rsidR="000F6904" w:rsidRPr="00EE52A5" w:rsidRDefault="000F6904" w:rsidP="000F6904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АКТ №</w:t>
      </w:r>
      <w:r w:rsidRPr="00EE52A5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0F6904" w:rsidRPr="00EE52A5" w:rsidRDefault="000F6904" w:rsidP="000F6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обследования объекта недвижимого имущества для определения</w:t>
      </w:r>
    </w:p>
    <w:p w:rsidR="000F6904" w:rsidRPr="00EE52A5" w:rsidRDefault="000F6904" w:rsidP="000F6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52A5">
        <w:rPr>
          <w:rFonts w:ascii="Times New Roman" w:hAnsi="Times New Roman" w:cs="Times New Roman"/>
          <w:sz w:val="28"/>
          <w:szCs w:val="28"/>
        </w:rPr>
        <w:t>вида фактического использования здания (строения,</w:t>
      </w:r>
      <w:proofErr w:type="gramEnd"/>
    </w:p>
    <w:p w:rsidR="000F6904" w:rsidRPr="00EE52A5" w:rsidRDefault="000F6904" w:rsidP="000F6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сооружения) и нежилого помещения</w:t>
      </w:r>
    </w:p>
    <w:p w:rsidR="000F6904" w:rsidRPr="00EE52A5" w:rsidRDefault="000F6904" w:rsidP="000F6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F6904" w:rsidRPr="00EE52A5" w:rsidRDefault="000F6904" w:rsidP="000F6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0F6904" w:rsidRPr="00EE52A5" w:rsidRDefault="000F6904" w:rsidP="000F6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1. Район ___________________________________________________</w:t>
      </w:r>
    </w:p>
    <w:p w:rsidR="000F6904" w:rsidRPr="00EE52A5" w:rsidRDefault="000F6904" w:rsidP="000F690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2. Город ___________________________________________________</w:t>
      </w:r>
    </w:p>
    <w:p w:rsidR="000F6904" w:rsidRPr="00EE52A5" w:rsidRDefault="000F6904" w:rsidP="000F690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3. Населенный пункт ________________________________________</w:t>
      </w:r>
    </w:p>
    <w:p w:rsidR="000F6904" w:rsidRPr="00EE52A5" w:rsidRDefault="000F6904" w:rsidP="000F690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4. Улица (переулок) ________________________________________</w:t>
      </w:r>
    </w:p>
    <w:p w:rsidR="000F6904" w:rsidRPr="00EE52A5" w:rsidRDefault="000F6904" w:rsidP="000F690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5. Дом (владение) __________________________________________</w:t>
      </w:r>
    </w:p>
    <w:p w:rsidR="000F6904" w:rsidRPr="00EE52A5" w:rsidRDefault="000F6904" w:rsidP="000F690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6. Корпус __________________________________________________</w:t>
      </w:r>
    </w:p>
    <w:p w:rsidR="000F6904" w:rsidRPr="00EE52A5" w:rsidRDefault="000F6904" w:rsidP="000F690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7. Строение ________________________________________________</w:t>
      </w:r>
    </w:p>
    <w:p w:rsidR="000F6904" w:rsidRPr="00EE52A5" w:rsidRDefault="000F6904" w:rsidP="000F690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8. Помещение _______________________________________________</w:t>
      </w:r>
    </w:p>
    <w:p w:rsidR="000F6904" w:rsidRPr="00EE52A5" w:rsidRDefault="000F6904" w:rsidP="000F6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I. Общие сведения об объекте проведения обследования</w:t>
      </w:r>
    </w:p>
    <w:p w:rsidR="000F6904" w:rsidRPr="00EE52A5" w:rsidRDefault="000F6904" w:rsidP="000F6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1133"/>
        <w:gridCol w:w="1133"/>
      </w:tblGrid>
      <w:tr w:rsidR="000F6904" w:rsidRPr="00EE52A5" w:rsidTr="00B8754E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1.1. Общие сведения о здании (строении, сооружении), помещении</w:t>
            </w: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Общая площадь - S общ</w:t>
            </w:r>
            <w:proofErr w:type="gramStart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в. м)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Вид использования объекта в соответствии с технической документацией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Владелец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1.2. Общие сведения о земельном участке, на котором расположен объект</w:t>
            </w: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Основание проведения обследования</w:t>
            </w: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1) График выездного обследования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2) Предложение Комиссии о проведении повторного выездного обследования, в случае недостаточности содержащихся в акте обследования сведений для определения вида фактического использования объекта недвижимого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3) Заявление правообладателя объекта недвижимого имущества о пересмотре решения об определении вида фактического использования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 xml:space="preserve">4) Заявление правообладателя объекта недвижимого </w:t>
            </w:r>
            <w:proofErr w:type="gramStart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proofErr w:type="gramEnd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 xml:space="preserve"> об исключении принадлежащего ему объекта недвижимого имущества из Перечня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5) Заявление правообладателя объекта недвижимого имущества об определении вида фактического использования здания (строения, сооружения) или нежилого помещения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1.4. Мероприятие проведено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С доступом в здание (строение, сооружение), помещение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Без доступа в здание (строение, сооружение), помещение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1.5. Источник сведений, используемый для расчета показателей площадей, указанных в настоящем Акте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1) На основании сведений из Единого государственного реестра недвижимости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2) На основании документов кадастрового учета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3) На основании документов технического учета (инвентаризации)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4) На основании фактических измерений (обмера)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1.6. Обследование (обмер) объекта проведено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1) С согласия и при участии правообладателя или его представителя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2) Без согласия правообладателя или его представителя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3) Правообладатель или его представитель препятствовали проведению обследования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904" w:rsidRPr="00EE52A5" w:rsidRDefault="000F6904" w:rsidP="000F6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lastRenderedPageBreak/>
        <w:t>II. Описание фактического использования помещений</w:t>
      </w:r>
    </w:p>
    <w:p w:rsidR="000F6904" w:rsidRPr="00EE52A5" w:rsidRDefault="000F6904" w:rsidP="000F6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4"/>
        <w:gridCol w:w="1077"/>
        <w:gridCol w:w="3344"/>
        <w:gridCol w:w="1133"/>
      </w:tblGrid>
      <w:tr w:rsidR="000F6904" w:rsidRPr="00EE52A5" w:rsidTr="00B8754E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Фактическое использование объекта в целях размещения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Признаки использования объекта</w:t>
            </w:r>
          </w:p>
        </w:tc>
      </w:tr>
      <w:tr w:rsidR="000F6904" w:rsidRPr="00EE52A5" w:rsidTr="00B8754E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офисов и сопутствующей офисной инфраструктуры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торговых объектов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объектов общественного питания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объектов бытового обслуживания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Площадь, используемая для целей размещения, кв. м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Доля площади, фактически используемой в целях размещения, %</w:t>
            </w:r>
          </w:p>
        </w:tc>
      </w:tr>
      <w:tr w:rsidR="000F6904" w:rsidRPr="00EE52A5" w:rsidTr="00B8754E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офисов и сопутствующей офисной инфраструктуры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офисов и сопутствующей офисной инфраструктуры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торговых объектов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торговых объектов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объектов общественного питания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объектов общественного 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объектов бытового обслуживания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объектов бытового обслуживания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0F6904" w:rsidRPr="00EE52A5" w:rsidTr="00B8754E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904" w:rsidRPr="00EE52A5" w:rsidRDefault="000F6904" w:rsidP="000F6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III. Перечень прилагаемых документов</w:t>
      </w:r>
    </w:p>
    <w:p w:rsidR="000F6904" w:rsidRPr="00EE52A5" w:rsidRDefault="000F6904" w:rsidP="000F6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68"/>
        <w:gridCol w:w="1644"/>
        <w:gridCol w:w="1247"/>
        <w:gridCol w:w="1530"/>
      </w:tblGrid>
      <w:tr w:rsidR="000F6904" w:rsidRPr="00EE52A5" w:rsidTr="00B875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Наименование прилагаемых документов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F6904" w:rsidRPr="00EE52A5" w:rsidTr="00B875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904" w:rsidRPr="00EE52A5" w:rsidTr="00B875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Поэтажный план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Экспликация к поэтажному плану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Материалы фотосъемки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Материалы видеосъемки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904" w:rsidRPr="00EE52A5" w:rsidTr="00B8754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2A5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04" w:rsidRPr="00EE52A5" w:rsidRDefault="000F6904" w:rsidP="00B8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904" w:rsidRPr="00EE52A5" w:rsidRDefault="000F6904" w:rsidP="000F69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Составлен по состоянию на "___" __________ 202__ г.</w:t>
      </w: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______________________________/ _______________________________</w:t>
      </w: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             (Ф.И.О.)                             (подпись)</w:t>
      </w: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______________________________/ _______________________________</w:t>
      </w: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             (Ф.И.О.)                             (подпись)</w:t>
      </w: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6904" w:rsidRPr="00EE52A5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>______________________________/ _______________________________</w:t>
      </w:r>
    </w:p>
    <w:p w:rsidR="000F6904" w:rsidRPr="002B1A90" w:rsidRDefault="000F6904" w:rsidP="000F6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2A5">
        <w:rPr>
          <w:rFonts w:ascii="Times New Roman" w:hAnsi="Times New Roman" w:cs="Times New Roman"/>
          <w:sz w:val="28"/>
          <w:szCs w:val="28"/>
        </w:rPr>
        <w:t xml:space="preserve">             (Ф.И.О.)                             (подпись)</w:t>
      </w:r>
    </w:p>
    <w:p w:rsidR="000F6904" w:rsidRPr="002B1A90" w:rsidRDefault="000F6904" w:rsidP="000F6904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</w:p>
    <w:p w:rsidR="00751EB0" w:rsidRDefault="00751EB0" w:rsidP="00C80854">
      <w:pPr>
        <w:suppressAutoHyphens/>
        <w:autoSpaceDE w:val="0"/>
        <w:spacing w:after="0" w:line="240" w:lineRule="auto"/>
        <w:ind w:left="2832" w:hanging="2832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sectPr w:rsidR="00751EB0" w:rsidSect="00152C99"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31" w:rsidRDefault="00680E31" w:rsidP="00BC2749">
      <w:pPr>
        <w:spacing w:after="0" w:line="240" w:lineRule="auto"/>
      </w:pPr>
      <w:r>
        <w:separator/>
      </w:r>
    </w:p>
  </w:endnote>
  <w:endnote w:type="continuationSeparator" w:id="0">
    <w:p w:rsidR="00680E31" w:rsidRDefault="00680E31" w:rsidP="00BC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31" w:rsidRDefault="00680E31" w:rsidP="00BC2749">
      <w:pPr>
        <w:spacing w:after="0" w:line="240" w:lineRule="auto"/>
      </w:pPr>
      <w:r>
        <w:separator/>
      </w:r>
    </w:p>
  </w:footnote>
  <w:footnote w:type="continuationSeparator" w:id="0">
    <w:p w:rsidR="00680E31" w:rsidRDefault="00680E31" w:rsidP="00BC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D0C75"/>
    <w:multiLevelType w:val="hybridMultilevel"/>
    <w:tmpl w:val="77BCEAC0"/>
    <w:lvl w:ilvl="0" w:tplc="AE9E54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0727"/>
    <w:rsid w:val="00027FB1"/>
    <w:rsid w:val="000412E5"/>
    <w:rsid w:val="000D265F"/>
    <w:rsid w:val="000F6904"/>
    <w:rsid w:val="00152C99"/>
    <w:rsid w:val="001B406B"/>
    <w:rsid w:val="001D3DCA"/>
    <w:rsid w:val="002733E4"/>
    <w:rsid w:val="002D03DB"/>
    <w:rsid w:val="002D6456"/>
    <w:rsid w:val="00320344"/>
    <w:rsid w:val="00370CCC"/>
    <w:rsid w:val="0037261B"/>
    <w:rsid w:val="003769E9"/>
    <w:rsid w:val="003772CA"/>
    <w:rsid w:val="00395DAC"/>
    <w:rsid w:val="003B01B7"/>
    <w:rsid w:val="003B15D2"/>
    <w:rsid w:val="0040074E"/>
    <w:rsid w:val="00460ADD"/>
    <w:rsid w:val="004A5427"/>
    <w:rsid w:val="004B2F0A"/>
    <w:rsid w:val="004C1081"/>
    <w:rsid w:val="004C6F00"/>
    <w:rsid w:val="004E26DD"/>
    <w:rsid w:val="004F484A"/>
    <w:rsid w:val="005473DE"/>
    <w:rsid w:val="0056211D"/>
    <w:rsid w:val="00572448"/>
    <w:rsid w:val="005F7428"/>
    <w:rsid w:val="006075AD"/>
    <w:rsid w:val="0065772E"/>
    <w:rsid w:val="00661974"/>
    <w:rsid w:val="0067027F"/>
    <w:rsid w:val="00680E31"/>
    <w:rsid w:val="006C33B1"/>
    <w:rsid w:val="00726B19"/>
    <w:rsid w:val="00751EB0"/>
    <w:rsid w:val="007C3BC1"/>
    <w:rsid w:val="007D7A8B"/>
    <w:rsid w:val="00810AFC"/>
    <w:rsid w:val="00880F3B"/>
    <w:rsid w:val="008A4F19"/>
    <w:rsid w:val="008E3F73"/>
    <w:rsid w:val="008E416E"/>
    <w:rsid w:val="008E51D8"/>
    <w:rsid w:val="009078C4"/>
    <w:rsid w:val="009200AA"/>
    <w:rsid w:val="00944C1A"/>
    <w:rsid w:val="00971D71"/>
    <w:rsid w:val="009C0D7F"/>
    <w:rsid w:val="009D490B"/>
    <w:rsid w:val="00A16733"/>
    <w:rsid w:val="00A31F14"/>
    <w:rsid w:val="00A61412"/>
    <w:rsid w:val="00AA01A3"/>
    <w:rsid w:val="00AB672E"/>
    <w:rsid w:val="00B34BA4"/>
    <w:rsid w:val="00B51315"/>
    <w:rsid w:val="00B6115C"/>
    <w:rsid w:val="00B87465"/>
    <w:rsid w:val="00BC2749"/>
    <w:rsid w:val="00BE41D6"/>
    <w:rsid w:val="00C44B75"/>
    <w:rsid w:val="00C5477E"/>
    <w:rsid w:val="00C671FC"/>
    <w:rsid w:val="00C7075E"/>
    <w:rsid w:val="00C80854"/>
    <w:rsid w:val="00C97E31"/>
    <w:rsid w:val="00CB0727"/>
    <w:rsid w:val="00CC788D"/>
    <w:rsid w:val="00CE5E80"/>
    <w:rsid w:val="00D04E3A"/>
    <w:rsid w:val="00D0753B"/>
    <w:rsid w:val="00D12BFA"/>
    <w:rsid w:val="00D36F3C"/>
    <w:rsid w:val="00D501A5"/>
    <w:rsid w:val="00DE39FE"/>
    <w:rsid w:val="00E0614D"/>
    <w:rsid w:val="00E4239B"/>
    <w:rsid w:val="00E761B6"/>
    <w:rsid w:val="00EB1A14"/>
    <w:rsid w:val="00ED0A86"/>
    <w:rsid w:val="00F35115"/>
    <w:rsid w:val="00F42F5F"/>
    <w:rsid w:val="00F57788"/>
    <w:rsid w:val="00F76066"/>
    <w:rsid w:val="00F86822"/>
    <w:rsid w:val="00FD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749"/>
  </w:style>
  <w:style w:type="paragraph" w:styleId="a5">
    <w:name w:val="footer"/>
    <w:basedOn w:val="a"/>
    <w:link w:val="a6"/>
    <w:uiPriority w:val="99"/>
    <w:unhideWhenUsed/>
    <w:rsid w:val="00BC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749"/>
  </w:style>
  <w:style w:type="table" w:styleId="a7">
    <w:name w:val="Table Grid"/>
    <w:basedOn w:val="a1"/>
    <w:uiPriority w:val="59"/>
    <w:rsid w:val="00751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6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F6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0F69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B132C4FD742E2ABE8B843FF8D087BCA3A977BA4005B0F06EA5D3D43593537F381F0BE1394849822354496B0B876B62050E4589CB9965AL0P" TargetMode="External"/><Relationship Id="rId13" Type="http://schemas.openxmlformats.org/officeDocument/2006/relationships/hyperlink" Target="consultantplus://offline/ref=7D31790B7C13D1640AB04B4F0958CFDACFF0E23F8F8647248207316B568E4E9B2A02B223D9B0AD9012FE17AF7FB7CEF8600D489261z7M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FB132C4FD742E2ABE8B843FF8D087BCA3A977BA4005B0F06EA5D3D43593537F381F0B6129684917D305187E8B474AB3E56FC449EB859LE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FB132C4FD742E2ABE8B843FF8D087BCA3A977BA4005B0F06EA5D3D43593537F381F0B6129784917D305187E8B474AB3E56FC449EB859LE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FB132C4FD742E2ABE8B843FF8D087BCA3A977BA4005B0F06EA5D3D43593537F381F0B6129780917D305187E8B474AB3E56FC449EB859L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FB132C4FD742E2ABE8B843FF8D087BCA3A977BA4005B0F06EA5D3D43593537F381F0B6129781917D305187E8B474AB3E56FC449EB859L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3652-00CC-4687-818F-49129CE3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К. Гоголи</dc:creator>
  <cp:lastModifiedBy>stelmahovadv</cp:lastModifiedBy>
  <cp:revision>4</cp:revision>
  <cp:lastPrinted>2022-05-19T08:24:00Z</cp:lastPrinted>
  <dcterms:created xsi:type="dcterms:W3CDTF">2022-05-19T07:12:00Z</dcterms:created>
  <dcterms:modified xsi:type="dcterms:W3CDTF">2022-05-24T07:03:00Z</dcterms:modified>
</cp:coreProperties>
</file>