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Борисоглебского городского округа Воронежской области</w:t>
      </w:r>
    </w:p>
    <w:p w14:paraId="3DA97A88" w14:textId="77777777" w:rsidR="00EE6D0F" w:rsidRDefault="00EE6D0F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E76C5" w14:textId="2EE1A3B2" w:rsidR="00EE6D0F" w:rsidRDefault="00EE6D0F" w:rsidP="00EE6D0F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</w:t>
      </w:r>
      <w:r w:rsidRPr="003F77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33</w:t>
      </w:r>
    </w:p>
    <w:p w14:paraId="2FCDD0DE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5D291B8" w14:textId="644B3A00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C30690" w:rsidRPr="00C30690">
        <w:rPr>
          <w:rFonts w:ascii="Times New Roman" w:hAnsi="Times New Roman"/>
          <w:sz w:val="24"/>
          <w:szCs w:val="24"/>
        </w:rPr>
        <w:t>30</w:t>
      </w:r>
      <w:r w:rsidR="007A0DA9" w:rsidRPr="00C30690">
        <w:rPr>
          <w:rFonts w:ascii="Times New Roman" w:hAnsi="Times New Roman"/>
          <w:sz w:val="24"/>
          <w:szCs w:val="24"/>
        </w:rPr>
        <w:t>.03.2018</w:t>
      </w:r>
      <w:r w:rsidR="00C30690" w:rsidRPr="00C30690">
        <w:rPr>
          <w:rFonts w:ascii="Times New Roman" w:hAnsi="Times New Roman"/>
          <w:sz w:val="24"/>
          <w:szCs w:val="24"/>
        </w:rPr>
        <w:t xml:space="preserve"> № </w:t>
      </w:r>
      <w:r w:rsidR="00C30690">
        <w:rPr>
          <w:rFonts w:ascii="Times New Roman" w:hAnsi="Times New Roman"/>
          <w:sz w:val="24"/>
          <w:szCs w:val="24"/>
        </w:rPr>
        <w:t>669</w:t>
      </w:r>
      <w:r>
        <w:rPr>
          <w:rFonts w:ascii="Times New Roman" w:hAnsi="Times New Roman"/>
          <w:sz w:val="24"/>
          <w:szCs w:val="24"/>
        </w:rPr>
        <w:t xml:space="preserve"> 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6B11C891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7A0DA9" w:rsidRPr="007A0DA9">
        <w:rPr>
          <w:rFonts w:ascii="Times New Roman" w:hAnsi="Times New Roman" w:cs="Times New Roman"/>
          <w:sz w:val="24"/>
          <w:szCs w:val="24"/>
        </w:rPr>
        <w:t>09 апреля</w:t>
      </w:r>
      <w:r w:rsidRPr="007A0DA9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A68DFEC" w14:textId="5D286ADC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777AE9">
        <w:rPr>
          <w:rFonts w:ascii="Times New Roman" w:hAnsi="Times New Roman" w:cs="Times New Roman"/>
          <w:sz w:val="24"/>
          <w:szCs w:val="24"/>
        </w:rPr>
        <w:t>18</w:t>
      </w:r>
      <w:r w:rsidR="007A0DA9" w:rsidRPr="007A0DA9">
        <w:rPr>
          <w:rFonts w:ascii="Times New Roman" w:hAnsi="Times New Roman" w:cs="Times New Roman"/>
          <w:sz w:val="24"/>
          <w:szCs w:val="24"/>
        </w:rPr>
        <w:t xml:space="preserve"> мая</w:t>
      </w:r>
      <w:r w:rsidRPr="007A0DA9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286593E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777AE9">
        <w:rPr>
          <w:rFonts w:ascii="Times New Roman" w:hAnsi="Times New Roman" w:cs="Times New Roman"/>
          <w:sz w:val="24"/>
          <w:szCs w:val="24"/>
        </w:rPr>
        <w:t>21</w:t>
      </w:r>
      <w:r w:rsidR="007A0DA9" w:rsidRPr="007A0DA9">
        <w:rPr>
          <w:rFonts w:ascii="Times New Roman" w:hAnsi="Times New Roman" w:cs="Times New Roman"/>
          <w:sz w:val="24"/>
          <w:szCs w:val="24"/>
        </w:rPr>
        <w:t xml:space="preserve"> мая</w:t>
      </w:r>
      <w:r w:rsidRPr="007A0DA9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344B6177" w:rsidR="00141897" w:rsidRPr="007A0DA9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DA9">
        <w:rPr>
          <w:rFonts w:ascii="Times New Roman" w:hAnsi="Times New Roman" w:cs="Times New Roman"/>
          <w:sz w:val="24"/>
          <w:szCs w:val="24"/>
        </w:rPr>
        <w:t xml:space="preserve">Дата </w:t>
      </w:r>
      <w:r w:rsidR="00777AE9">
        <w:rPr>
          <w:rFonts w:ascii="Times New Roman" w:hAnsi="Times New Roman" w:cs="Times New Roman"/>
          <w:sz w:val="24"/>
          <w:szCs w:val="24"/>
        </w:rPr>
        <w:t>и время проведения аукциона – 23</w:t>
      </w:r>
      <w:r w:rsidR="007A0DA9" w:rsidRPr="007A0DA9">
        <w:rPr>
          <w:rFonts w:ascii="Times New Roman" w:hAnsi="Times New Roman" w:cs="Times New Roman"/>
          <w:sz w:val="24"/>
          <w:szCs w:val="24"/>
        </w:rPr>
        <w:t xml:space="preserve"> мая</w:t>
      </w:r>
      <w:r w:rsidRPr="007A0DA9">
        <w:rPr>
          <w:rFonts w:ascii="Times New Roman" w:hAnsi="Times New Roman" w:cs="Times New Roman"/>
          <w:sz w:val="24"/>
          <w:szCs w:val="24"/>
        </w:rPr>
        <w:t xml:space="preserve"> 2018 г.:</w:t>
      </w:r>
    </w:p>
    <w:p w14:paraId="04651984" w14:textId="20C8163E" w:rsidR="00141897" w:rsidRPr="007A0DA9" w:rsidRDefault="00777AE9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10</w:t>
      </w:r>
      <w:r w:rsidR="00501963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141897" w:rsidRPr="007A0DA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3590850A" w14:textId="4B898E03" w:rsidR="00141897" w:rsidRPr="007A0DA9" w:rsidRDefault="00777AE9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10</w:t>
      </w:r>
      <w:r w:rsidR="00501963">
        <w:rPr>
          <w:rFonts w:ascii="Times New Roman" w:hAnsi="Times New Roman" w:cs="Times New Roman"/>
          <w:sz w:val="24"/>
          <w:szCs w:val="24"/>
        </w:rPr>
        <w:t xml:space="preserve"> часов 10</w:t>
      </w:r>
      <w:r w:rsidR="00141897" w:rsidRPr="007A0DA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044CB14B" w14:textId="4B40B467" w:rsidR="00141897" w:rsidRPr="007A0DA9" w:rsidRDefault="00777AE9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10</w:t>
      </w:r>
      <w:r w:rsidR="00501963">
        <w:rPr>
          <w:rFonts w:ascii="Times New Roman" w:hAnsi="Times New Roman" w:cs="Times New Roman"/>
          <w:sz w:val="24"/>
          <w:szCs w:val="24"/>
        </w:rPr>
        <w:t xml:space="preserve"> часов 20</w:t>
      </w:r>
      <w:r w:rsidR="00141897" w:rsidRPr="007A0DA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0D3A49DD" w14:textId="657E7160" w:rsidR="00141897" w:rsidRPr="007A0DA9" w:rsidRDefault="00501963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4: в </w:t>
      </w:r>
      <w:r w:rsidR="00777AE9">
        <w:rPr>
          <w:rFonts w:ascii="Times New Roman" w:hAnsi="Times New Roman" w:cs="Times New Roman"/>
          <w:sz w:val="24"/>
          <w:szCs w:val="24"/>
        </w:rPr>
        <w:t>10</w:t>
      </w:r>
      <w:r w:rsidR="00141897" w:rsidRPr="007A0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30</w:t>
      </w:r>
      <w:r w:rsidR="00141897" w:rsidRPr="007A0DA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10305EEE" w14:textId="783B83DF" w:rsidR="00141897" w:rsidRPr="007A0DA9" w:rsidRDefault="00777AE9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10</w:t>
      </w:r>
      <w:r w:rsidR="00501963">
        <w:rPr>
          <w:rFonts w:ascii="Times New Roman" w:hAnsi="Times New Roman" w:cs="Times New Roman"/>
          <w:sz w:val="24"/>
          <w:szCs w:val="24"/>
        </w:rPr>
        <w:t xml:space="preserve"> часов 40</w:t>
      </w:r>
      <w:r w:rsidR="00141897" w:rsidRPr="007A0DA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2AB69A6B" w14:textId="5A0AE892" w:rsidR="00141897" w:rsidRPr="007A0DA9" w:rsidRDefault="00777AE9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</w:t>
      </w:r>
      <w:r w:rsidR="00501963">
        <w:rPr>
          <w:rFonts w:ascii="Times New Roman" w:hAnsi="Times New Roman" w:cs="Times New Roman"/>
          <w:sz w:val="24"/>
          <w:szCs w:val="24"/>
        </w:rPr>
        <w:t xml:space="preserve"> часов 50</w:t>
      </w:r>
      <w:r w:rsidR="00141897" w:rsidRPr="007A0DA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3A4EB910" w14:textId="5D7F7CFE" w:rsidR="00141897" w:rsidRPr="007A0DA9" w:rsidRDefault="00777AE9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11</w:t>
      </w:r>
      <w:r w:rsidR="00501963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141897" w:rsidRPr="007A0DA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14:paraId="791E6B82" w14:textId="49C208DD" w:rsidR="00141897" w:rsidRDefault="00777AE9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11</w:t>
      </w:r>
      <w:r w:rsidR="00501963">
        <w:rPr>
          <w:rFonts w:ascii="Times New Roman" w:hAnsi="Times New Roman" w:cs="Times New Roman"/>
          <w:sz w:val="24"/>
          <w:szCs w:val="24"/>
        </w:rPr>
        <w:t xml:space="preserve"> часов 10</w:t>
      </w:r>
      <w:r w:rsidR="00141897" w:rsidRPr="007A0DA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050EC92C" w14:textId="4ABD78E9" w:rsidR="3C4F6D85" w:rsidRDefault="3C4F6D85" w:rsidP="3C4F6D8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AA1612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468"/>
        <w:gridCol w:w="1337"/>
      </w:tblGrid>
      <w:tr w:rsidR="007928A3" w14:paraId="40FED32F" w14:textId="77777777" w:rsidTr="0096619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96619A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7D35DBF5" w:rsidR="3C4F6D85" w:rsidRDefault="3C4F6D85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4F6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Борисоглебский городской округ</w:t>
            </w:r>
          </w:p>
        </w:tc>
      </w:tr>
      <w:tr w:rsidR="007928A3" w14:paraId="4EA5E8E4" w14:textId="77777777" w:rsidTr="0096619A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5D8A8E56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</w:t>
            </w:r>
            <w:r w:rsidR="3C4F6D85" w:rsidRPr="3C4F6D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928A3" w14:paraId="128F3B0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5CA25D73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36:04:2315008:29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55C7AFDE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1 391 631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153C1335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Борисоглебский район, в границах </w:t>
            </w:r>
            <w:proofErr w:type="gramStart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 им. Горького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3FAE731B" w:rsidR="007928A3" w:rsidRDefault="00F15521" w:rsidP="00AB2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7372A16D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179 078,85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38C6EBF4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179 078,85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54DCFED0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</w:tr>
      <w:tr w:rsidR="007928A3" w14:paraId="657512E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44D33070" w:rsidR="007928A3" w:rsidRDefault="0096619A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36:04:2315008:30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69310574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1 671 977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32A6BCBB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Борисоглебский район, в границах </w:t>
            </w:r>
            <w:proofErr w:type="gramStart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 им. Горького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2282B32B" w:rsidR="007928A3" w:rsidRDefault="00F15521" w:rsidP="00F20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463FD9BB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215 153,70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06994139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215 153,70</w:t>
            </w:r>
          </w:p>
        </w:tc>
      </w:tr>
      <w:tr w:rsidR="007928A3" w14:paraId="53E27E7C" w14:textId="77777777" w:rsidTr="0096619A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7CBA4BC5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 w:rsidR="3C4F6D85" w:rsidRPr="3C4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8A3" w14:paraId="50FEF17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37A767EB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76A4CC74" w:rsidR="007928A3" w:rsidRDefault="0096619A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36:04:2315010:19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2E9ECC52" w:rsidR="007928A3" w:rsidRDefault="0096619A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852 362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758B596B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Борисоглебский район, в границах </w:t>
            </w:r>
            <w:proofErr w:type="gramStart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 им. Горького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2E74F694" w:rsidR="007928A3" w:rsidRDefault="00F15521" w:rsidP="00966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7C299E81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109 684,00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177B815C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109 684,00</w:t>
            </w:r>
          </w:p>
        </w:tc>
      </w:tr>
      <w:tr w:rsidR="007928A3" w14:paraId="2033899A" w14:textId="77777777" w:rsidTr="0096619A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5E206764" w:rsidR="007928A3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</w:tr>
      <w:tr w:rsidR="007928A3" w14:paraId="38A1DC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FE81CA9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44330C14" w:rsidR="007928A3" w:rsidRDefault="0096619A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36:04:2315010:20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BEC24" w14:textId="0AC256BB" w:rsidR="007928A3" w:rsidRDefault="0096619A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382 691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587DC533" w:rsidR="007928A3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Борисоглебский район, в границах </w:t>
            </w:r>
            <w:proofErr w:type="gramStart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 им. Горького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36198178" w:rsidR="007928A3" w:rsidRDefault="00F15521" w:rsidP="00AC1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3126D318" w:rsidR="007928A3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49 245,60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7DD7845E" w:rsidR="007928A3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49 245,60</w:t>
            </w:r>
          </w:p>
        </w:tc>
      </w:tr>
      <w:tr w:rsidR="00A34766" w14:paraId="4BBBE139" w14:textId="77777777" w:rsidTr="0096619A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1E2AB" w14:textId="35FE3EB8" w:rsidR="00A34766" w:rsidRPr="0012776A" w:rsidRDefault="002347B8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  <w:r w:rsidR="3C4F6D85" w:rsidRPr="3C4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766" w14:paraId="460B4211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653A" w14:textId="1577B555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7DB" w14:textId="41AA3180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36:04:2315011:68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44530" w14:textId="0B8048E5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960 017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53286" w14:textId="7789184D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Борисоглебский район, в границах </w:t>
            </w:r>
            <w:proofErr w:type="gramStart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 им. Горького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DB64" w14:textId="6B263DB2" w:rsidR="00A34766" w:rsidRDefault="00F15521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813" w14:textId="74DED31E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123 537,30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22159" w14:textId="6BC4A55C" w:rsidR="00A34766" w:rsidRPr="0012776A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123 537,30</w:t>
            </w:r>
          </w:p>
        </w:tc>
      </w:tr>
      <w:tr w:rsidR="0096619A" w14:paraId="4FE77E24" w14:textId="77777777" w:rsidTr="0096619A">
        <w:trPr>
          <w:cantSplit/>
          <w:trHeight w:val="2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6967E" w14:textId="5C6D9A3F" w:rsidR="0096619A" w:rsidRPr="0012776A" w:rsidRDefault="0096619A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6</w:t>
            </w:r>
            <w:r w:rsidRPr="3C4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766" w14:paraId="3A9B3654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8DBCB" w14:textId="146AD42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0959" w14:textId="2D57D655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36:04:2315011:69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865E" w14:textId="2C3859E7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337 358 (в том числе 178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F28DB" w14:textId="0B776062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Борисоглебский район, в границах </w:t>
            </w:r>
            <w:proofErr w:type="gramStart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 им. Горького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AC33" w14:textId="061C98B1" w:rsidR="00A34766" w:rsidRDefault="00F15521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2390E" w14:textId="43240B69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43 389,10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A8551" w14:textId="18B4EB3A" w:rsidR="00A34766" w:rsidRPr="0012776A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43 389,10</w:t>
            </w:r>
          </w:p>
        </w:tc>
      </w:tr>
      <w:tr w:rsidR="0096619A" w14:paraId="6C061D45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F4B2C" w14:textId="17CDB2F8" w:rsidR="0096619A" w:rsidRPr="0012776A" w:rsidRDefault="0096619A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</w:p>
        </w:tc>
      </w:tr>
      <w:tr w:rsidR="00A34766" w14:paraId="0B0DEE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9BD1" w14:textId="7654A34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612A" w14:textId="282DD793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36:04:2315012:31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28C3C" w14:textId="1FE77189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996 312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BCA7" w14:textId="0251B7C6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Борисоглебский район, в границах </w:t>
            </w:r>
            <w:proofErr w:type="gramStart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 им. Горького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F28" w14:textId="5796CB02" w:rsidR="00A34766" w:rsidRDefault="00F15521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6CC3D" w14:textId="12A6EEC1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128 208,05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32275" w14:textId="3688D84A" w:rsidR="00A34766" w:rsidRPr="0012776A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128 208,05</w:t>
            </w:r>
          </w:p>
        </w:tc>
      </w:tr>
      <w:tr w:rsidR="0096619A" w14:paraId="26F313C6" w14:textId="77777777" w:rsidTr="0096619A">
        <w:trPr>
          <w:cantSplit/>
          <w:trHeight w:val="31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89DED" w14:textId="296E82E8" w:rsidR="0096619A" w:rsidRPr="0012776A" w:rsidRDefault="0096619A" w:rsidP="00792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</w:p>
        </w:tc>
      </w:tr>
      <w:tr w:rsidR="00A34766" w14:paraId="1536FF2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861E" w14:textId="1A375568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241B3" w14:textId="79D08A0F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36:04:2315012:32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2872" w14:textId="7835D97D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507 652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C08E7" w14:textId="0792507A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Борисоглебский район, в границах </w:t>
            </w:r>
            <w:proofErr w:type="gramStart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к-з</w:t>
            </w:r>
            <w:proofErr w:type="gramEnd"/>
            <w:r w:rsidRPr="0096619A">
              <w:rPr>
                <w:rFonts w:ascii="Times New Roman" w:hAnsi="Times New Roman" w:cs="Times New Roman"/>
                <w:sz w:val="24"/>
                <w:szCs w:val="24"/>
              </w:rPr>
              <w:t xml:space="preserve"> им. Горького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05ADA" w14:textId="336F34AA" w:rsidR="00A34766" w:rsidRDefault="00F15521" w:rsidP="00127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5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Сельскохозяйственное использование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2B9CF" w14:textId="6A9E8519" w:rsidR="00A34766" w:rsidRPr="0012776A" w:rsidRDefault="0096619A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</w:rPr>
              <w:t>65 325,90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5DE" w14:textId="50216DA7" w:rsidR="00A34766" w:rsidRPr="0012776A" w:rsidRDefault="0096619A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65 325,90</w:t>
            </w:r>
          </w:p>
        </w:tc>
      </w:tr>
    </w:tbl>
    <w:p w14:paraId="63FAD314" w14:textId="60C789E4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19A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14:paraId="2880940A" w14:textId="77777777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3DE47E" w14:textId="77777777"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23C260BE" w14:textId="21672EC9" w:rsidR="00A34766" w:rsidRPr="003C5643" w:rsidRDefault="3C4F6D85" w:rsidP="3C4F6D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У всех зем</w:t>
      </w:r>
      <w:r w:rsidR="002347B8">
        <w:rPr>
          <w:rFonts w:ascii="Times New Roman" w:hAnsi="Times New Roman"/>
          <w:sz w:val="24"/>
          <w:szCs w:val="24"/>
        </w:rPr>
        <w:t>ельных участков по лотам №№ 1-8</w:t>
      </w:r>
      <w:r w:rsidRPr="3C4F6D85">
        <w:rPr>
          <w:rFonts w:ascii="Times New Roman" w:hAnsi="Times New Roman"/>
          <w:sz w:val="24"/>
          <w:szCs w:val="24"/>
        </w:rPr>
        <w:t>:</w:t>
      </w:r>
    </w:p>
    <w:p w14:paraId="3672D9D6" w14:textId="77777777" w:rsidR="00A34766" w:rsidRPr="003C5643" w:rsidRDefault="00A34766" w:rsidP="00A34766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1953C72C" w14:textId="77777777"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56920F8E" w14:textId="77777777"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5FE1E6E4" w14:textId="77777777" w:rsidR="00A34766" w:rsidRPr="003C5643" w:rsidRDefault="00A34766" w:rsidP="00A34766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43DAFA3A" w14:textId="1DD2D326" w:rsidR="00A34766" w:rsidRPr="003C5643" w:rsidRDefault="3C4F6D85" w:rsidP="3C4F6D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 w:rsidR="003A256D">
        <w:rPr>
          <w:rFonts w:ascii="Times New Roman" w:hAnsi="Times New Roman"/>
          <w:sz w:val="24"/>
          <w:szCs w:val="24"/>
        </w:rPr>
        <w:t>мельных участков</w:t>
      </w:r>
      <w:r w:rsidRPr="3C4F6D85">
        <w:rPr>
          <w:rFonts w:ascii="Times New Roman" w:hAnsi="Times New Roman"/>
          <w:sz w:val="24"/>
          <w:szCs w:val="24"/>
        </w:rPr>
        <w:t xml:space="preserve"> – 3 года.</w:t>
      </w:r>
    </w:p>
    <w:p w14:paraId="644DCBE9" w14:textId="27B23E3D" w:rsidR="007928A3" w:rsidRPr="00693DDE" w:rsidRDefault="00A34766" w:rsidP="00693D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67E0C679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928A3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928A3">
        <w:rPr>
          <w:rFonts w:ascii="Times New Roman" w:hAnsi="Times New Roman"/>
          <w:sz w:val="24"/>
          <w:szCs w:val="24"/>
        </w:rPr>
        <w:t>ого</w:t>
      </w:r>
      <w:r w:rsidRPr="007928A3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928A3">
        <w:rPr>
          <w:rFonts w:ascii="Times New Roman" w:hAnsi="Times New Roman"/>
          <w:sz w:val="24"/>
          <w:szCs w:val="24"/>
        </w:rPr>
        <w:t>а</w:t>
      </w:r>
      <w:r w:rsidR="00F63D0F" w:rsidRPr="007928A3">
        <w:rPr>
          <w:rFonts w:ascii="Times New Roman" w:hAnsi="Times New Roman"/>
          <w:sz w:val="24"/>
          <w:szCs w:val="24"/>
        </w:rPr>
        <w:t xml:space="preserve">, </w:t>
      </w:r>
      <w:r w:rsidRPr="007928A3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>
        <w:rPr>
          <w:rFonts w:ascii="Times New Roman" w:hAnsi="Times New Roman"/>
          <w:sz w:val="24"/>
          <w:szCs w:val="24"/>
        </w:rPr>
        <w:t>8</w:t>
      </w:r>
      <w:r w:rsidRPr="007928A3">
        <w:rPr>
          <w:rFonts w:ascii="Times New Roman" w:hAnsi="Times New Roman"/>
          <w:sz w:val="24"/>
          <w:szCs w:val="24"/>
        </w:rPr>
        <w:t xml:space="preserve"> –</w:t>
      </w:r>
      <w:r w:rsidR="0096619A">
        <w:rPr>
          <w:rFonts w:ascii="Times New Roman" w:hAnsi="Times New Roman"/>
          <w:sz w:val="24"/>
          <w:szCs w:val="24"/>
        </w:rPr>
        <w:t xml:space="preserve"> 33</w:t>
      </w:r>
      <w:r w:rsidRPr="007928A3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77777777"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C1671" w14:textId="77777777" w:rsidR="00533E14" w:rsidRDefault="00533E14" w:rsidP="00225547">
      <w:r>
        <w:separator/>
      </w:r>
    </w:p>
  </w:endnote>
  <w:endnote w:type="continuationSeparator" w:id="0">
    <w:p w14:paraId="03FC45DA" w14:textId="77777777" w:rsidR="00533E14" w:rsidRDefault="00533E14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CA6CDE" w:rsidRPr="00B35B8B" w:rsidRDefault="00CA6CDE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6D0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CA6CDE" w:rsidRPr="002F11AF" w:rsidRDefault="00CA6CDE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EE6D0F">
      <w:rPr>
        <w:rFonts w:ascii="Times New Roman" w:hAnsi="Times New Roman" w:cs="Times New Roman"/>
        <w:noProof/>
        <w:sz w:val="24"/>
        <w:szCs w:val="24"/>
      </w:rPr>
      <w:t>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CA6CDE" w:rsidRDefault="00CA6C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6DFEC" w14:textId="77777777" w:rsidR="00533E14" w:rsidRDefault="00533E14" w:rsidP="00225547">
      <w:r>
        <w:separator/>
      </w:r>
    </w:p>
  </w:footnote>
  <w:footnote w:type="continuationSeparator" w:id="0">
    <w:p w14:paraId="2B1C2C5E" w14:textId="77777777" w:rsidR="00533E14" w:rsidRDefault="00533E14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te_shetinina@mail.ru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64F"/>
    <w:rsid w:val="00097CE8"/>
    <w:rsid w:val="000A4413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A53D9"/>
    <w:rsid w:val="001B1BB6"/>
    <w:rsid w:val="001C2236"/>
    <w:rsid w:val="001C365B"/>
    <w:rsid w:val="001C3C75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5782D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C48FA"/>
    <w:rsid w:val="002C72FB"/>
    <w:rsid w:val="002D4174"/>
    <w:rsid w:val="002E1A4F"/>
    <w:rsid w:val="002E5328"/>
    <w:rsid w:val="002F11AF"/>
    <w:rsid w:val="002F4621"/>
    <w:rsid w:val="002F56DA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A256D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0008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1963"/>
    <w:rsid w:val="005078F3"/>
    <w:rsid w:val="00512404"/>
    <w:rsid w:val="005168F2"/>
    <w:rsid w:val="005238B7"/>
    <w:rsid w:val="005261F7"/>
    <w:rsid w:val="00530F18"/>
    <w:rsid w:val="00533E14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20EB9"/>
    <w:rsid w:val="00621879"/>
    <w:rsid w:val="0062560F"/>
    <w:rsid w:val="00625C8B"/>
    <w:rsid w:val="0064074E"/>
    <w:rsid w:val="00643C59"/>
    <w:rsid w:val="00646642"/>
    <w:rsid w:val="0065225A"/>
    <w:rsid w:val="0066389E"/>
    <w:rsid w:val="00667C36"/>
    <w:rsid w:val="006805A2"/>
    <w:rsid w:val="00684B75"/>
    <w:rsid w:val="00693DDE"/>
    <w:rsid w:val="00695F0B"/>
    <w:rsid w:val="00696499"/>
    <w:rsid w:val="006B35E6"/>
    <w:rsid w:val="006B5D2E"/>
    <w:rsid w:val="006C44F1"/>
    <w:rsid w:val="006C73A3"/>
    <w:rsid w:val="006D32ED"/>
    <w:rsid w:val="006E1BE7"/>
    <w:rsid w:val="006E7CE0"/>
    <w:rsid w:val="006F10EF"/>
    <w:rsid w:val="006F5D9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77AE9"/>
    <w:rsid w:val="007815C0"/>
    <w:rsid w:val="007928A3"/>
    <w:rsid w:val="00793A9B"/>
    <w:rsid w:val="00794D78"/>
    <w:rsid w:val="007A034C"/>
    <w:rsid w:val="007A0DA9"/>
    <w:rsid w:val="007A4CE0"/>
    <w:rsid w:val="007A656F"/>
    <w:rsid w:val="007B2512"/>
    <w:rsid w:val="007C0C6D"/>
    <w:rsid w:val="007D01D7"/>
    <w:rsid w:val="007D2B7F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549F"/>
    <w:rsid w:val="0085554F"/>
    <w:rsid w:val="008560DF"/>
    <w:rsid w:val="008604D2"/>
    <w:rsid w:val="008665A9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19A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E39"/>
    <w:rsid w:val="00B25232"/>
    <w:rsid w:val="00B350B9"/>
    <w:rsid w:val="00B3514A"/>
    <w:rsid w:val="00B35B8B"/>
    <w:rsid w:val="00B47B15"/>
    <w:rsid w:val="00B56755"/>
    <w:rsid w:val="00B57D32"/>
    <w:rsid w:val="00B715BC"/>
    <w:rsid w:val="00B764F6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30690"/>
    <w:rsid w:val="00C45737"/>
    <w:rsid w:val="00C5635D"/>
    <w:rsid w:val="00C61685"/>
    <w:rsid w:val="00C624AD"/>
    <w:rsid w:val="00C671CC"/>
    <w:rsid w:val="00C728EE"/>
    <w:rsid w:val="00C73BF7"/>
    <w:rsid w:val="00C834C5"/>
    <w:rsid w:val="00CA4614"/>
    <w:rsid w:val="00CA6CDE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14B73"/>
    <w:rsid w:val="00E25600"/>
    <w:rsid w:val="00E533FF"/>
    <w:rsid w:val="00E674B6"/>
    <w:rsid w:val="00E70F07"/>
    <w:rsid w:val="00E765DD"/>
    <w:rsid w:val="00E85A71"/>
    <w:rsid w:val="00EA72F2"/>
    <w:rsid w:val="00EB32A9"/>
    <w:rsid w:val="00EC0726"/>
    <w:rsid w:val="00ED235E"/>
    <w:rsid w:val="00ED640D"/>
    <w:rsid w:val="00EE1DEE"/>
    <w:rsid w:val="00EE6D0F"/>
    <w:rsid w:val="00EF0CBA"/>
    <w:rsid w:val="00EF7329"/>
    <w:rsid w:val="00F00EBE"/>
    <w:rsid w:val="00F0429B"/>
    <w:rsid w:val="00F12941"/>
    <w:rsid w:val="00F14D8A"/>
    <w:rsid w:val="00F15521"/>
    <w:rsid w:val="00F16B31"/>
    <w:rsid w:val="00F20780"/>
    <w:rsid w:val="00F20BB7"/>
    <w:rsid w:val="00F26B9F"/>
    <w:rsid w:val="00F32DB2"/>
    <w:rsid w:val="00F37E90"/>
    <w:rsid w:val="00F4168C"/>
    <w:rsid w:val="00F419E8"/>
    <w:rsid w:val="00F53206"/>
    <w:rsid w:val="00F5669A"/>
    <w:rsid w:val="00F6335D"/>
    <w:rsid w:val="00F63D0F"/>
    <w:rsid w:val="00F726A7"/>
    <w:rsid w:val="00F7355D"/>
    <w:rsid w:val="00F74A11"/>
    <w:rsid w:val="00F81368"/>
    <w:rsid w:val="00F84897"/>
    <w:rsid w:val="00F9355D"/>
    <w:rsid w:val="00FA5A56"/>
    <w:rsid w:val="00FC1A2A"/>
    <w:rsid w:val="00FC5F40"/>
    <w:rsid w:val="00FC6C84"/>
    <w:rsid w:val="00FD1A4B"/>
    <w:rsid w:val="00FD61BD"/>
    <w:rsid w:val="00FE1342"/>
    <w:rsid w:val="00FE3F58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6e24f0ad206f462d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CB273-7E92-4B2F-8275-050C76AF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5677</Words>
  <Characters>32360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253</cp:revision>
  <cp:lastPrinted>2018-04-03T08:07:00Z</cp:lastPrinted>
  <dcterms:created xsi:type="dcterms:W3CDTF">2015-11-18T12:10:00Z</dcterms:created>
  <dcterms:modified xsi:type="dcterms:W3CDTF">2018-04-05T13:26:00Z</dcterms:modified>
</cp:coreProperties>
</file>