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92" w:rsidRPr="00172997" w:rsidRDefault="001F3194" w:rsidP="009B6092">
      <w:pPr>
        <w:pStyle w:val="a5"/>
        <w:spacing w:line="192" w:lineRule="auto"/>
        <w:ind w:right="14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45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70527794" r:id="rId9"/>
        </w:pict>
      </w:r>
      <w:r w:rsidR="009B6092" w:rsidRPr="00172997">
        <w:rPr>
          <w:spacing w:val="30"/>
          <w:szCs w:val="28"/>
        </w:rPr>
        <w:t xml:space="preserve">ДЕПАРТАМЕНТ </w:t>
      </w:r>
    </w:p>
    <w:p w:rsidR="009B6092" w:rsidRPr="00172997" w:rsidRDefault="009B6092" w:rsidP="009B6092">
      <w:pPr>
        <w:pStyle w:val="a5"/>
        <w:spacing w:line="192" w:lineRule="auto"/>
        <w:ind w:right="140"/>
        <w:rPr>
          <w:spacing w:val="30"/>
          <w:szCs w:val="28"/>
        </w:rPr>
      </w:pPr>
      <w:r w:rsidRPr="00172997">
        <w:rPr>
          <w:spacing w:val="30"/>
          <w:szCs w:val="28"/>
        </w:rPr>
        <w:t>ИМУЩЕСТВЕННЫХ И ЗЕМЕЛЬНЫХ ОТНОШЕНИЙ</w:t>
      </w:r>
    </w:p>
    <w:p w:rsidR="009B6092" w:rsidRPr="00172997" w:rsidRDefault="009B6092" w:rsidP="009B6092">
      <w:pPr>
        <w:pStyle w:val="a5"/>
        <w:spacing w:line="192" w:lineRule="auto"/>
        <w:ind w:right="140"/>
        <w:rPr>
          <w:szCs w:val="28"/>
        </w:rPr>
      </w:pPr>
      <w:r w:rsidRPr="00172997">
        <w:rPr>
          <w:spacing w:val="30"/>
          <w:szCs w:val="28"/>
        </w:rPr>
        <w:t>ВОРОНЕЖСКОЙ ОБЛАСТИ</w:t>
      </w:r>
    </w:p>
    <w:p w:rsidR="009B6092" w:rsidRPr="00172997" w:rsidRDefault="009B6092" w:rsidP="009B6092">
      <w:pPr>
        <w:pStyle w:val="a3"/>
        <w:ind w:right="140"/>
        <w:jc w:val="center"/>
        <w:rPr>
          <w:rFonts w:ascii="Times New Roman" w:hAnsi="Times New Roman"/>
          <w:szCs w:val="28"/>
        </w:rPr>
      </w:pPr>
    </w:p>
    <w:p w:rsidR="009B6092" w:rsidRPr="00C32D7D" w:rsidRDefault="009B6092" w:rsidP="009B6092">
      <w:pPr>
        <w:pStyle w:val="a3"/>
        <w:ind w:right="140"/>
        <w:jc w:val="center"/>
        <w:rPr>
          <w:rFonts w:ascii="Times New Roman" w:hAnsi="Times New Roman"/>
          <w:sz w:val="20"/>
        </w:rPr>
      </w:pPr>
    </w:p>
    <w:p w:rsidR="009B6092" w:rsidRDefault="009B6092" w:rsidP="009B6092">
      <w:pPr>
        <w:pStyle w:val="a3"/>
        <w:ind w:right="140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E22C10" w:rsidRPr="00E22C10" w:rsidRDefault="00E22C10" w:rsidP="009B6092">
      <w:pPr>
        <w:pStyle w:val="a3"/>
        <w:ind w:right="140"/>
        <w:jc w:val="center"/>
        <w:rPr>
          <w:rFonts w:ascii="Times New Roman" w:hAnsi="Times New Roman"/>
          <w:spacing w:val="60"/>
          <w:szCs w:val="28"/>
        </w:rPr>
      </w:pPr>
      <w:r w:rsidRPr="00E22C10">
        <w:rPr>
          <w:rFonts w:ascii="Times New Roman" w:hAnsi="Times New Roman"/>
          <w:spacing w:val="60"/>
          <w:szCs w:val="28"/>
        </w:rPr>
        <w:t>Проект</w:t>
      </w:r>
    </w:p>
    <w:p w:rsidR="009B6092" w:rsidRPr="00C32D7D" w:rsidRDefault="009B6092" w:rsidP="009B6092">
      <w:pPr>
        <w:pStyle w:val="a3"/>
        <w:ind w:right="140"/>
        <w:jc w:val="center"/>
        <w:rPr>
          <w:rFonts w:ascii="Times New Roman" w:hAnsi="Times New Roman"/>
          <w:b/>
          <w:spacing w:val="60"/>
          <w:szCs w:val="28"/>
        </w:rPr>
      </w:pPr>
    </w:p>
    <w:p w:rsidR="009B6092" w:rsidRPr="00C32D7D" w:rsidRDefault="009B6092" w:rsidP="009B6092">
      <w:pPr>
        <w:pStyle w:val="a3"/>
        <w:spacing w:line="288" w:lineRule="auto"/>
        <w:ind w:right="140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9B6092" w:rsidRPr="00C32D7D" w:rsidRDefault="009B6092" w:rsidP="009B6092">
      <w:pPr>
        <w:pStyle w:val="a3"/>
        <w:ind w:right="140"/>
        <w:jc w:val="center"/>
        <w:rPr>
          <w:rFonts w:ascii="Times New Roman" w:hAnsi="Times New Roman"/>
          <w:szCs w:val="28"/>
        </w:rPr>
      </w:pPr>
    </w:p>
    <w:p w:rsidR="009B6092" w:rsidRPr="00C32D7D" w:rsidRDefault="009B6092" w:rsidP="009B6092">
      <w:pPr>
        <w:pStyle w:val="a3"/>
        <w:ind w:right="140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9B6092" w:rsidRPr="00C32D7D" w:rsidRDefault="009B6092" w:rsidP="009B6092">
      <w:pPr>
        <w:pStyle w:val="a3"/>
        <w:ind w:right="140"/>
        <w:rPr>
          <w:rFonts w:ascii="Times New Roman" w:hAnsi="Times New Roman"/>
          <w:szCs w:val="28"/>
        </w:rPr>
      </w:pPr>
    </w:p>
    <w:p w:rsidR="009B6092" w:rsidRDefault="00BC2835" w:rsidP="001404DD">
      <w:pPr>
        <w:pStyle w:val="a3"/>
        <w:tabs>
          <w:tab w:val="left" w:pos="9348"/>
        </w:tabs>
        <w:ind w:right="1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74046C">
        <w:rPr>
          <w:rFonts w:ascii="Times New Roman" w:hAnsi="Times New Roman"/>
          <w:b/>
          <w:szCs w:val="28"/>
        </w:rPr>
        <w:t>«О</w:t>
      </w:r>
      <w:r>
        <w:rPr>
          <w:rFonts w:ascii="Times New Roman" w:hAnsi="Times New Roman"/>
          <w:b/>
          <w:szCs w:val="28"/>
        </w:rPr>
        <w:t>б</w:t>
      </w:r>
      <w:r w:rsidR="0074046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э</w:t>
      </w:r>
      <w:r w:rsidR="00F13519">
        <w:rPr>
          <w:rFonts w:ascii="Times New Roman" w:hAnsi="Times New Roman"/>
          <w:b/>
          <w:szCs w:val="28"/>
        </w:rPr>
        <w:t>кспертно</w:t>
      </w:r>
      <w:r>
        <w:rPr>
          <w:rFonts w:ascii="Times New Roman" w:hAnsi="Times New Roman"/>
          <w:b/>
          <w:szCs w:val="28"/>
        </w:rPr>
        <w:t>м совете</w:t>
      </w:r>
      <w:r w:rsidR="001404DD" w:rsidRPr="001404DD">
        <w:rPr>
          <w:rFonts w:ascii="Times New Roman" w:hAnsi="Times New Roman"/>
          <w:b/>
          <w:szCs w:val="28"/>
        </w:rPr>
        <w:t xml:space="preserve"> по </w:t>
      </w:r>
      <w:r w:rsidR="00F13519">
        <w:rPr>
          <w:rFonts w:ascii="Times New Roman" w:hAnsi="Times New Roman"/>
          <w:b/>
          <w:szCs w:val="28"/>
        </w:rPr>
        <w:t xml:space="preserve">отбору земельных участков для </w:t>
      </w:r>
      <w:r w:rsidR="001404DD" w:rsidRPr="001404DD">
        <w:rPr>
          <w:rFonts w:ascii="Times New Roman" w:hAnsi="Times New Roman"/>
          <w:b/>
          <w:szCs w:val="28"/>
        </w:rPr>
        <w:t>формирования земельного залогового фонда Воронежской области</w:t>
      </w:r>
      <w:r w:rsidR="0074046C">
        <w:rPr>
          <w:rFonts w:ascii="Times New Roman" w:hAnsi="Times New Roman"/>
          <w:b/>
          <w:szCs w:val="28"/>
        </w:rPr>
        <w:t>»</w:t>
      </w:r>
    </w:p>
    <w:p w:rsidR="009B6092" w:rsidRPr="00C32D7D" w:rsidRDefault="009B6092" w:rsidP="009B6092">
      <w:pPr>
        <w:pStyle w:val="a3"/>
        <w:tabs>
          <w:tab w:val="left" w:pos="4111"/>
          <w:tab w:val="left" w:pos="4253"/>
          <w:tab w:val="left" w:pos="4536"/>
          <w:tab w:val="left" w:pos="5245"/>
        </w:tabs>
        <w:ind w:right="140"/>
        <w:jc w:val="both"/>
        <w:rPr>
          <w:rFonts w:ascii="Times New Roman" w:hAnsi="Times New Roman"/>
          <w:szCs w:val="28"/>
        </w:rPr>
      </w:pPr>
    </w:p>
    <w:p w:rsidR="009B6092" w:rsidRDefault="009B6092" w:rsidP="00FF0FFF">
      <w:pPr>
        <w:pStyle w:val="a3"/>
        <w:spacing w:line="360" w:lineRule="auto"/>
        <w:ind w:right="140"/>
        <w:jc w:val="both"/>
        <w:rPr>
          <w:rFonts w:ascii="Times New Roman" w:hAnsi="Times New Roman"/>
          <w:szCs w:val="28"/>
        </w:rPr>
      </w:pPr>
    </w:p>
    <w:p w:rsidR="008934EF" w:rsidRPr="00374B3E" w:rsidRDefault="008934EF" w:rsidP="00374B3E">
      <w:pPr>
        <w:pStyle w:val="ConsPlusNormal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В целях п</w:t>
      </w:r>
      <w:r w:rsidRPr="00374B3E">
        <w:rPr>
          <w:rFonts w:ascii="Times New Roman" w:hAnsi="Times New Roman" w:cs="Times New Roman"/>
          <w:sz w:val="28"/>
          <w:szCs w:val="28"/>
        </w:rPr>
        <w:t xml:space="preserve">овышения эффективности использования земель или земельных участков, находящихся в собственности Воронежской области, повышения инвестиционной привлекательности Воронежской области и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отбора земельных участков</w:t>
      </w:r>
      <w:r w:rsidR="002054C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054CF" w:rsidRPr="002054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54CF">
        <w:rPr>
          <w:rFonts w:ascii="Times New Roman" w:eastAsia="Times New Roman" w:hAnsi="Times New Roman" w:cs="Times New Roman"/>
          <w:bCs/>
          <w:sz w:val="28"/>
          <w:szCs w:val="28"/>
        </w:rPr>
        <w:t>относящихся к государственной или муниципальной собственности</w:t>
      </w:r>
      <w:r w:rsidR="00E95BB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формирования земельного залогового фонда Воронежской области</w:t>
      </w:r>
      <w:r w:rsidR="002054C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п р и к а з ы в а ю:</w:t>
      </w:r>
    </w:p>
    <w:p w:rsidR="008934EF" w:rsidRPr="00374B3E" w:rsidRDefault="008934EF" w:rsidP="00374B3E">
      <w:pPr>
        <w:pStyle w:val="ConsPlusNormal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</w:t>
      </w:r>
      <w:hyperlink w:anchor="Par33" w:history="1">
        <w:r w:rsidRPr="00374B3E">
          <w:rPr>
            <w:rFonts w:ascii="Times New Roman" w:eastAsia="Times New Roman" w:hAnsi="Times New Roman" w:cs="Times New Roman"/>
            <w:bCs/>
            <w:sz w:val="28"/>
            <w:szCs w:val="28"/>
          </w:rPr>
          <w:t>положение</w:t>
        </w:r>
      </w:hyperlink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экспертном совете по отбору земельных участков для формирования земельного залогового фонда Воронежской области</w:t>
      </w:r>
      <w:r w:rsidR="001750FE"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34EF" w:rsidRPr="00374B3E" w:rsidRDefault="008934EF" w:rsidP="00374B3E">
      <w:pPr>
        <w:pStyle w:val="ConsPlusNormal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2. Утвердить состав экспертного совета по отбору земельных участков для формирования земельного залогового фонда Воронежской области</w:t>
      </w:r>
      <w:r w:rsidR="00374B3E"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2)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34EF" w:rsidRPr="00374B3E" w:rsidRDefault="008934EF" w:rsidP="00374B3E">
      <w:pPr>
        <w:pStyle w:val="ConsPlusNormal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C128AC">
        <w:rPr>
          <w:rFonts w:ascii="Times New Roman" w:eastAsia="Times New Roman" w:hAnsi="Times New Roman" w:cs="Times New Roman"/>
          <w:bCs/>
          <w:sz w:val="28"/>
          <w:szCs w:val="28"/>
        </w:rPr>
        <w:t>Утвердить ф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орму опросного листа голосования членов экспертного совета по отбору земельных участков для формирования земельного залогового фонда Воронежской области</w:t>
      </w:r>
      <w:r w:rsidR="00374B3E"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3)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34EF" w:rsidRPr="00374B3E" w:rsidRDefault="008934EF" w:rsidP="00374B3E">
      <w:pPr>
        <w:pStyle w:val="ConsPlusNormal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Приказы департамента имущественных и земельных отношений Воронежской области от </w:t>
      </w:r>
      <w:r w:rsidR="00374B3E"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22.01.2015 № 72, 06.08.2015 № 1292, 05.12.2016 № 1954, 06.02.2017 № 175, 24.03.2017 № 629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утратившими силу.</w:t>
      </w:r>
    </w:p>
    <w:p w:rsidR="008934EF" w:rsidRPr="00FF0FFF" w:rsidRDefault="00947220" w:rsidP="008934EF">
      <w:pPr>
        <w:pStyle w:val="ConsPlusNormal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</w:t>
      </w:r>
      <w:bookmarkStart w:id="0" w:name="_GoBack"/>
      <w:bookmarkEnd w:id="0"/>
      <w:r w:rsidR="008934EF" w:rsidRPr="001404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934EF" w:rsidRPr="00FF0FF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934EF" w:rsidRPr="00FF0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8934E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приказа </w:t>
      </w:r>
      <w:r w:rsidR="008934EF" w:rsidRPr="00FF0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возложить на </w:t>
      </w:r>
      <w:r w:rsid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первого </w:t>
      </w:r>
      <w:r w:rsidR="008934EF" w:rsidRPr="00FF0FF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заместителя </w:t>
      </w:r>
      <w:r w:rsidR="008934E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 департамента имущественных и земельных отношений </w:t>
      </w:r>
      <w:r w:rsidR="008934EF" w:rsidRPr="00FF0FF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proofErr w:type="spellStart"/>
      <w:r w:rsidR="008934EF">
        <w:rPr>
          <w:rFonts w:ascii="Times New Roman" w:eastAsia="Times New Roman" w:hAnsi="Times New Roman" w:cs="Times New Roman"/>
          <w:bCs/>
          <w:sz w:val="28"/>
          <w:szCs w:val="28"/>
        </w:rPr>
        <w:t>Горкину</w:t>
      </w:r>
      <w:proofErr w:type="spellEnd"/>
      <w:r w:rsidR="008934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И.С.</w:t>
      </w:r>
    </w:p>
    <w:p w:rsidR="00BC2835" w:rsidRDefault="00BC2835" w:rsidP="00FF0FFF">
      <w:pPr>
        <w:pStyle w:val="a3"/>
        <w:spacing w:line="360" w:lineRule="auto"/>
        <w:ind w:right="140"/>
        <w:jc w:val="both"/>
        <w:rPr>
          <w:rFonts w:ascii="Times New Roman" w:hAnsi="Times New Roman"/>
          <w:szCs w:val="28"/>
        </w:rPr>
      </w:pPr>
    </w:p>
    <w:p w:rsidR="00BC2835" w:rsidRDefault="00BC2835" w:rsidP="00FF0FFF">
      <w:pPr>
        <w:pStyle w:val="a3"/>
        <w:spacing w:line="360" w:lineRule="auto"/>
        <w:ind w:right="140"/>
        <w:jc w:val="both"/>
        <w:rPr>
          <w:rFonts w:ascii="Times New Roman" w:hAnsi="Times New Roman"/>
          <w:szCs w:val="28"/>
        </w:rPr>
      </w:pPr>
    </w:p>
    <w:p w:rsidR="00BA6B99" w:rsidRDefault="00BA6B99" w:rsidP="00FF0FFF">
      <w:pPr>
        <w:pStyle w:val="a3"/>
        <w:spacing w:line="360" w:lineRule="auto"/>
        <w:ind w:right="14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828"/>
        <w:gridCol w:w="5811"/>
      </w:tblGrid>
      <w:tr w:rsidR="009B6092" w:rsidRPr="0047569C" w:rsidTr="004C4806">
        <w:tc>
          <w:tcPr>
            <w:tcW w:w="3828" w:type="dxa"/>
            <w:shd w:val="clear" w:color="auto" w:fill="auto"/>
          </w:tcPr>
          <w:p w:rsidR="009B6092" w:rsidRPr="00556276" w:rsidRDefault="00905FC9" w:rsidP="006330D0">
            <w:pPr>
              <w:pStyle w:val="a3"/>
              <w:ind w:righ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404DD">
              <w:rPr>
                <w:rFonts w:ascii="Times New Roman" w:hAnsi="Times New Roman"/>
              </w:rPr>
              <w:t xml:space="preserve">уководитель департамента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9B6092" w:rsidRPr="00556276" w:rsidRDefault="00905FC9" w:rsidP="006330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С.В. Юсупов</w:t>
            </w:r>
          </w:p>
        </w:tc>
      </w:tr>
    </w:tbl>
    <w:p w:rsidR="00374B3E" w:rsidRDefault="00374B3E" w:rsidP="00905FC9"/>
    <w:p w:rsidR="00905FC9" w:rsidRDefault="00905FC9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E22C10" w:rsidRPr="00C32D7D" w:rsidTr="00525BCD">
        <w:trPr>
          <w:trHeight w:val="707"/>
        </w:trPr>
        <w:tc>
          <w:tcPr>
            <w:tcW w:w="4786" w:type="dxa"/>
          </w:tcPr>
          <w:p w:rsidR="00E22C10" w:rsidRPr="00C32D7D" w:rsidRDefault="00E22C10" w:rsidP="00525BCD">
            <w:pPr>
              <w:ind w:left="342" w:firstLine="73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проекту приказа</w:t>
            </w: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департамента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имущественных и земельных отношений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Воронежской области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«____»___________20____г. №</w:t>
            </w:r>
            <w:r w:rsidRPr="00C32D7D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</w:t>
            </w:r>
          </w:p>
        </w:tc>
      </w:tr>
    </w:tbl>
    <w:p w:rsidR="00E22C10" w:rsidRDefault="00E22C10" w:rsidP="00E22C10">
      <w:pPr>
        <w:pStyle w:val="a3"/>
        <w:spacing w:line="276" w:lineRule="auto"/>
        <w:jc w:val="center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spacing w:line="276" w:lineRule="auto"/>
        <w:jc w:val="center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spacing w:line="276" w:lineRule="auto"/>
        <w:jc w:val="center"/>
        <w:rPr>
          <w:rFonts w:ascii="Times New Roman" w:hAnsi="Times New Roman"/>
          <w:szCs w:val="28"/>
        </w:rPr>
      </w:pPr>
    </w:p>
    <w:p w:rsidR="00E22C10" w:rsidRPr="00C56B18" w:rsidRDefault="00E22C10" w:rsidP="00E22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B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22C10" w:rsidRDefault="00E22C10" w:rsidP="00E22C10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6B18">
        <w:rPr>
          <w:rFonts w:ascii="Times New Roman" w:hAnsi="Times New Roman" w:cs="Times New Roman"/>
          <w:b/>
          <w:bCs/>
          <w:cap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r w:rsidRPr="00C56B1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экспертном совете </w:t>
      </w:r>
      <w:r w:rsidRPr="00AA3189">
        <w:rPr>
          <w:rFonts w:ascii="Times New Roman" w:hAnsi="Times New Roman" w:cs="Times New Roman"/>
          <w:b/>
          <w:bCs/>
          <w:caps/>
          <w:sz w:val="28"/>
          <w:szCs w:val="28"/>
        </w:rPr>
        <w:t>по отбору земельных участков для формирования земельного залогового фонда Воронежской области</w:t>
      </w:r>
    </w:p>
    <w:p w:rsidR="00E22C10" w:rsidRPr="00C56B18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C10" w:rsidRPr="005F4151" w:rsidRDefault="00E22C10" w:rsidP="00E22C1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151">
        <w:rPr>
          <w:rFonts w:ascii="Times New Roman" w:hAnsi="Times New Roman" w:cs="Times New Roman"/>
          <w:b/>
          <w:sz w:val="28"/>
          <w:szCs w:val="28"/>
        </w:rPr>
        <w:t xml:space="preserve">1. Общие положения. Цели и задачи </w:t>
      </w:r>
      <w:r>
        <w:rPr>
          <w:rFonts w:ascii="Times New Roman" w:hAnsi="Times New Roman" w:cs="Times New Roman"/>
          <w:b/>
          <w:sz w:val="28"/>
          <w:szCs w:val="28"/>
        </w:rPr>
        <w:t>экспертного совета</w:t>
      </w:r>
      <w:r w:rsidRPr="005F4151">
        <w:rPr>
          <w:rFonts w:ascii="Times New Roman" w:hAnsi="Times New Roman" w:cs="Times New Roman"/>
          <w:b/>
          <w:sz w:val="28"/>
          <w:szCs w:val="28"/>
        </w:rPr>
        <w:t>.</w:t>
      </w:r>
    </w:p>
    <w:p w:rsidR="00E22C10" w:rsidRPr="00C56B18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AA3189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A3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AA3189">
        <w:rPr>
          <w:rFonts w:ascii="Times New Roman" w:hAnsi="Times New Roman" w:cs="Times New Roman"/>
          <w:sz w:val="28"/>
          <w:szCs w:val="28"/>
        </w:rPr>
        <w:t xml:space="preserve"> по отбору земельных участков для формирования земельного залогового фонда Воронежской области</w:t>
      </w:r>
      <w:r w:rsidRPr="00C56B1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C56B18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коллегиальным органом, созданным в целях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74B3E">
        <w:rPr>
          <w:rFonts w:ascii="Times New Roman" w:hAnsi="Times New Roman" w:cs="Times New Roman"/>
          <w:sz w:val="28"/>
          <w:szCs w:val="28"/>
        </w:rPr>
        <w:t xml:space="preserve">овышения эффективности использования земель или земельных участков, находящихся в собственности Воронежской области, повышения инвестиционной привлекательности Воронежской области и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отбора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относящихся к государственной или муниципальной собственности,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формирования земельного залогового фонда Воронежской области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C10" w:rsidRPr="00C56B18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C56B18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C56B1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B18"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6B18">
        <w:rPr>
          <w:rFonts w:ascii="Times New Roman" w:hAnsi="Times New Roman" w:cs="Times New Roman"/>
          <w:sz w:val="28"/>
          <w:szCs w:val="28"/>
        </w:rPr>
        <w:t>оложением.</w:t>
      </w:r>
    </w:p>
    <w:p w:rsidR="00E22C10" w:rsidRPr="00C56B18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 xml:space="preserve">1.3. Основными задачами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</w:rPr>
        <w:t xml:space="preserve">Принятие коллегиального решения по вопросам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74B3E">
        <w:rPr>
          <w:rFonts w:ascii="Times New Roman" w:hAnsi="Times New Roman" w:cs="Times New Roman"/>
          <w:sz w:val="28"/>
          <w:szCs w:val="28"/>
        </w:rPr>
        <w:t xml:space="preserve">овышения эффективности использования земель или земельных участков, находящихся в собственности Воронежской области, повышения инвестиционной привлекательности Воронежской области и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отбора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относящихся к государственной или муниципальной собственности,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формирования земельного залогового фонда Воронежской области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1.3.2. Анализ инвестиционной привлекательности земельных участков,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относящихся к государственной или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возможности изменения их категории и вида разрешенного использования.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Формирование земельного залогового фонда Воронежской области из наиболее перспективных земельных участков,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относящихся к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Принятие коллегиального решения о возможности резервирования в соответствии с действующим законодательством земельных участков,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относящихся к государственной или муниципальной собственности, для ф</w:t>
      </w:r>
      <w:r>
        <w:rPr>
          <w:rFonts w:ascii="Times New Roman" w:hAnsi="Times New Roman" w:cs="Times New Roman"/>
          <w:sz w:val="28"/>
          <w:szCs w:val="28"/>
        </w:rPr>
        <w:t>ормирования земельного залогового фонда Воронежской области.</w:t>
      </w:r>
    </w:p>
    <w:p w:rsidR="00E22C10" w:rsidRPr="00C56B18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6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56B18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B18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 муниципальных образований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74B3E">
        <w:rPr>
          <w:rFonts w:ascii="Times New Roman" w:hAnsi="Times New Roman" w:cs="Times New Roman"/>
          <w:sz w:val="28"/>
          <w:szCs w:val="28"/>
        </w:rPr>
        <w:t xml:space="preserve">овышения эффективности использования земель или земельных участков, находящихся в собственности Воронежской области, повышения инвестиционной привлекательности Воронежской области и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отбора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относящихся к государственной или муниципальной собственности,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формирования земельного залогового фонда Воронежской области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C10" w:rsidRPr="00C56B18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C10" w:rsidRPr="005F4151" w:rsidRDefault="00E22C10" w:rsidP="00E22C1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151">
        <w:rPr>
          <w:rFonts w:ascii="Times New Roman" w:hAnsi="Times New Roman" w:cs="Times New Roman"/>
          <w:b/>
          <w:sz w:val="28"/>
          <w:szCs w:val="28"/>
        </w:rPr>
        <w:t xml:space="preserve">2. Порядок работы </w:t>
      </w:r>
      <w:r w:rsidRPr="001D0FC6">
        <w:rPr>
          <w:rFonts w:ascii="Times New Roman" w:hAnsi="Times New Roman" w:cs="Times New Roman"/>
          <w:b/>
          <w:sz w:val="28"/>
          <w:szCs w:val="28"/>
        </w:rPr>
        <w:t>экспертного совета</w:t>
      </w:r>
      <w:r w:rsidRPr="005F4151">
        <w:rPr>
          <w:rFonts w:ascii="Times New Roman" w:hAnsi="Times New Roman" w:cs="Times New Roman"/>
          <w:b/>
          <w:sz w:val="28"/>
          <w:szCs w:val="28"/>
        </w:rPr>
        <w:t>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 xml:space="preserve">2.1. Основной формой работы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 являются заседания</w:t>
      </w:r>
      <w:r>
        <w:rPr>
          <w:rFonts w:ascii="Times New Roman" w:hAnsi="Times New Roman" w:cs="Times New Roman"/>
          <w:sz w:val="28"/>
          <w:szCs w:val="28"/>
        </w:rPr>
        <w:t>, проводимые в очной форме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6B18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 считается </w:t>
      </w:r>
      <w:r>
        <w:rPr>
          <w:rFonts w:ascii="Times New Roman" w:hAnsi="Times New Roman" w:cs="Times New Roman"/>
          <w:sz w:val="28"/>
          <w:szCs w:val="28"/>
        </w:rPr>
        <w:t>состоявшимся</w:t>
      </w:r>
      <w:r w:rsidRPr="00C56B18">
        <w:rPr>
          <w:rFonts w:ascii="Times New Roman" w:hAnsi="Times New Roman" w:cs="Times New Roman"/>
          <w:sz w:val="28"/>
          <w:szCs w:val="28"/>
        </w:rPr>
        <w:t>, если на нем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18">
        <w:rPr>
          <w:rFonts w:ascii="Times New Roman" w:hAnsi="Times New Roman" w:cs="Times New Roman"/>
          <w:sz w:val="28"/>
          <w:szCs w:val="28"/>
        </w:rPr>
        <w:t xml:space="preserve">более половины </w:t>
      </w:r>
      <w:r>
        <w:rPr>
          <w:rFonts w:ascii="Times New Roman" w:hAnsi="Times New Roman" w:cs="Times New Roman"/>
          <w:sz w:val="28"/>
          <w:szCs w:val="28"/>
        </w:rPr>
        <w:t>членов 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18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6B18">
        <w:rPr>
          <w:rFonts w:ascii="Times New Roman" w:hAnsi="Times New Roman" w:cs="Times New Roman"/>
          <w:sz w:val="28"/>
          <w:szCs w:val="28"/>
        </w:rPr>
        <w:t xml:space="preserve">читается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Pr="00C56B18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повестки дня заседания экспертного совета проголосовали более </w:t>
      </w:r>
      <w:r w:rsidRPr="00C56B18">
        <w:rPr>
          <w:rFonts w:ascii="Times New Roman" w:hAnsi="Times New Roman" w:cs="Times New Roman"/>
          <w:sz w:val="28"/>
          <w:szCs w:val="28"/>
        </w:rPr>
        <w:t xml:space="preserve">половины </w:t>
      </w:r>
      <w:r>
        <w:rPr>
          <w:rFonts w:ascii="Times New Roman" w:hAnsi="Times New Roman" w:cs="Times New Roman"/>
          <w:sz w:val="28"/>
          <w:szCs w:val="28"/>
        </w:rPr>
        <w:t>членов 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принимается по результатам</w:t>
      </w:r>
      <w:r w:rsidRPr="00C56B18">
        <w:rPr>
          <w:rFonts w:ascii="Times New Roman" w:hAnsi="Times New Roman" w:cs="Times New Roman"/>
          <w:sz w:val="28"/>
          <w:szCs w:val="28"/>
        </w:rPr>
        <w:t xml:space="preserve"> открытого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членов экспертного совета методом опросных листов</w:t>
      </w:r>
      <w:r w:rsidRPr="00C56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6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6B18">
        <w:rPr>
          <w:rFonts w:ascii="Times New Roman" w:hAnsi="Times New Roman" w:cs="Times New Roman"/>
          <w:sz w:val="28"/>
          <w:szCs w:val="28"/>
        </w:rPr>
        <w:t xml:space="preserve">В целях оперативного </w:t>
      </w:r>
      <w:r>
        <w:rPr>
          <w:rFonts w:ascii="Times New Roman" w:hAnsi="Times New Roman" w:cs="Times New Roman"/>
          <w:sz w:val="28"/>
          <w:szCs w:val="28"/>
        </w:rPr>
        <w:t xml:space="preserve">принятия коллегиального решения по вопросам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74B3E">
        <w:rPr>
          <w:rFonts w:ascii="Times New Roman" w:hAnsi="Times New Roman" w:cs="Times New Roman"/>
          <w:sz w:val="28"/>
          <w:szCs w:val="28"/>
        </w:rPr>
        <w:t xml:space="preserve">овышения эффективности использования земель или земельных участков, находящихся в собственности Воронежской области, повышения инвестиционной привлекательности Воронежской области и 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>отбора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относящихся к государственной или муниципальной собственности,</w:t>
      </w:r>
      <w:r w:rsidRPr="00374B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формирования земельного залогового фонда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B18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принято путем проведения заочного голосования членами экспертного совета </w:t>
      </w:r>
      <w:r w:rsidRPr="00C56B18">
        <w:rPr>
          <w:rFonts w:ascii="Times New Roman" w:hAnsi="Times New Roman" w:cs="Times New Roman"/>
          <w:sz w:val="28"/>
          <w:szCs w:val="28"/>
        </w:rPr>
        <w:t>методом опросных листов.</w:t>
      </w:r>
      <w:proofErr w:type="gramEnd"/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C5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голосование членами экспертного совета </w:t>
      </w:r>
      <w:r w:rsidRPr="00C56B18">
        <w:rPr>
          <w:rFonts w:ascii="Times New Roman" w:hAnsi="Times New Roman" w:cs="Times New Roman"/>
          <w:sz w:val="28"/>
          <w:szCs w:val="28"/>
        </w:rPr>
        <w:t xml:space="preserve">методом опросных листов считается состоявшимся, если в течение трех дней </w:t>
      </w:r>
      <w:proofErr w:type="gramStart"/>
      <w:r w:rsidRPr="00C56B18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C56B18">
        <w:rPr>
          <w:rFonts w:ascii="Times New Roman" w:hAnsi="Times New Roman" w:cs="Times New Roman"/>
          <w:sz w:val="28"/>
          <w:szCs w:val="28"/>
        </w:rPr>
        <w:t xml:space="preserve"> опросного листа свое мнение выразило более </w:t>
      </w:r>
      <w:r>
        <w:rPr>
          <w:rFonts w:ascii="Times New Roman" w:hAnsi="Times New Roman" w:cs="Times New Roman"/>
          <w:sz w:val="28"/>
          <w:szCs w:val="28"/>
        </w:rPr>
        <w:t>половины членов экспертного совета.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6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Очное з</w:t>
      </w:r>
      <w:r w:rsidRPr="00C56B18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 xml:space="preserve">е экспертного совета, а также заочное голосование членов экспертного совета </w:t>
      </w:r>
      <w:r w:rsidRPr="00C56B18">
        <w:rPr>
          <w:rFonts w:ascii="Times New Roman" w:hAnsi="Times New Roman" w:cs="Times New Roman"/>
          <w:sz w:val="28"/>
          <w:szCs w:val="28"/>
        </w:rPr>
        <w:t>методом опросных 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B18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необходимости. 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случае отсутствия члена  экспертного совета опросный лист подписывается руководителем исполнительного органа государственной власти, в котором член экспертного совета замещает должность государственной гражданской службы Воронежской области.  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6B18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 экспертного совета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случае отсутствия председателя экспертного совета </w:t>
      </w:r>
      <w:r w:rsidRPr="00C56B18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совета подписывается заместителем председателя экспертного совета.</w:t>
      </w:r>
    </w:p>
    <w:p w:rsidR="00E22C10" w:rsidRDefault="00E22C10" w:rsidP="00E22C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к заседанию экспертного совета, а также опросные листы членов экспертного совета направляются в адрес членов экспертного совета д</w:t>
      </w:r>
      <w:r w:rsidRPr="00C56B18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6B18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E22C10" w:rsidRPr="00C32D7D" w:rsidTr="00525BCD">
        <w:trPr>
          <w:trHeight w:val="707"/>
        </w:trPr>
        <w:tc>
          <w:tcPr>
            <w:tcW w:w="4786" w:type="dxa"/>
          </w:tcPr>
          <w:p w:rsidR="00E22C10" w:rsidRPr="00D53898" w:rsidRDefault="00E22C10" w:rsidP="00525BCD">
            <w:pPr>
              <w:ind w:left="342" w:firstLine="73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проекту приказа</w:t>
            </w: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департамента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имущественных и земельных отношений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Воронежской области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«____»___________20____г. №</w:t>
            </w:r>
            <w:r w:rsidRPr="00C32D7D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</w:t>
            </w:r>
          </w:p>
        </w:tc>
      </w:tr>
    </w:tbl>
    <w:p w:rsidR="00E22C10" w:rsidRDefault="00E22C10" w:rsidP="00E22C10">
      <w:pPr>
        <w:pStyle w:val="a3"/>
        <w:spacing w:line="276" w:lineRule="auto"/>
        <w:jc w:val="center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spacing w:line="276" w:lineRule="auto"/>
        <w:jc w:val="center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spacing w:line="276" w:lineRule="auto"/>
        <w:jc w:val="center"/>
        <w:rPr>
          <w:rFonts w:ascii="Times New Roman" w:hAnsi="Times New Roman"/>
          <w:szCs w:val="28"/>
        </w:rPr>
      </w:pPr>
    </w:p>
    <w:p w:rsidR="00E22C10" w:rsidRPr="00442942" w:rsidRDefault="00E22C10" w:rsidP="00E22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2"/>
      <w:bookmarkEnd w:id="1"/>
      <w:r w:rsidRPr="004429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22C10" w:rsidRDefault="00E22C10" w:rsidP="00E22C10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экспертного совета </w:t>
      </w:r>
      <w:r w:rsidRPr="00AA3189">
        <w:rPr>
          <w:rFonts w:ascii="Times New Roman" w:hAnsi="Times New Roman" w:cs="Times New Roman"/>
          <w:b/>
          <w:bCs/>
          <w:caps/>
          <w:sz w:val="28"/>
          <w:szCs w:val="28"/>
        </w:rPr>
        <w:t>по отбору земельных участков для формирования земельного залогового фонда Воронежской области</w:t>
      </w:r>
    </w:p>
    <w:p w:rsidR="00E22C10" w:rsidRDefault="00E22C10" w:rsidP="00E22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2C10" w:rsidRPr="00442942" w:rsidRDefault="00E22C10" w:rsidP="00E22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17"/>
        <w:gridCol w:w="5511"/>
        <w:gridCol w:w="3544"/>
      </w:tblGrid>
      <w:tr w:rsidR="00E22C10" w:rsidRPr="00442942" w:rsidTr="00E22C10">
        <w:trPr>
          <w:trHeight w:val="400"/>
          <w:tblCellSpacing w:w="5" w:type="nil"/>
          <w:jc w:val="center"/>
        </w:trPr>
        <w:tc>
          <w:tcPr>
            <w:tcW w:w="585" w:type="dxa"/>
            <w:gridSpan w:val="2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N</w:t>
            </w:r>
          </w:p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42942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11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85" w:right="10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102" w:right="10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</w:tr>
      <w:tr w:rsidR="00E22C10" w:rsidRPr="00442942" w:rsidTr="00E22C10">
        <w:trPr>
          <w:trHeight w:val="400"/>
          <w:tblCellSpacing w:w="5" w:type="nil"/>
          <w:jc w:val="center"/>
        </w:trPr>
        <w:tc>
          <w:tcPr>
            <w:tcW w:w="585" w:type="dxa"/>
            <w:gridSpan w:val="2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11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442942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экспертного совета – первый заместитель руководителя департамента имущественных и земельных отношений Воронежской области</w:t>
            </w:r>
          </w:p>
        </w:tc>
        <w:tc>
          <w:tcPr>
            <w:tcW w:w="3544" w:type="dxa"/>
            <w:vAlign w:val="center"/>
          </w:tcPr>
          <w:p w:rsidR="00E22C10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ГОРКИНА</w:t>
            </w:r>
          </w:p>
          <w:p w:rsidR="00E22C10" w:rsidRPr="00442942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Ирина Сергеевна</w:t>
            </w:r>
          </w:p>
        </w:tc>
      </w:tr>
      <w:tr w:rsidR="00E22C10" w:rsidRPr="00442942" w:rsidTr="00E22C10">
        <w:trPr>
          <w:trHeight w:val="4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экспертного совета – начальник отдела реализации земельной политики в муниципальных образованиях и мобилизации дополнительных доходов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департамента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имущественных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земельных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3544" w:type="dxa"/>
            <w:vAlign w:val="center"/>
          </w:tcPr>
          <w:p w:rsidR="00E22C10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КНЯЗЕВА</w:t>
            </w:r>
          </w:p>
          <w:p w:rsidR="00E22C10" w:rsidRPr="00442942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Ирина Алексеевна</w:t>
            </w:r>
          </w:p>
        </w:tc>
      </w:tr>
      <w:tr w:rsidR="00E22C10" w:rsidRPr="00442942" w:rsidTr="00E22C10">
        <w:trPr>
          <w:trHeight w:val="4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руководителя управления архитектуры и градостроительства  Воронежской области – начальник отдела территориального планирования </w:t>
            </w:r>
          </w:p>
        </w:tc>
        <w:tc>
          <w:tcPr>
            <w:tcW w:w="3544" w:type="dxa"/>
            <w:vAlign w:val="center"/>
          </w:tcPr>
          <w:p w:rsidR="00E22C10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ВЛАСОВ</w:t>
            </w:r>
          </w:p>
          <w:p w:rsidR="00E22C10" w:rsidRPr="00442942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Анатолий Александрович</w:t>
            </w:r>
          </w:p>
        </w:tc>
      </w:tr>
      <w:tr w:rsidR="00E22C10" w:rsidRPr="00442942" w:rsidTr="00E22C10">
        <w:trPr>
          <w:trHeight w:val="4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особо охраняемых природных территорий департамента природных ресурсов и экологии Воронежской области</w:t>
            </w:r>
          </w:p>
        </w:tc>
        <w:tc>
          <w:tcPr>
            <w:tcW w:w="3544" w:type="dxa"/>
            <w:vAlign w:val="center"/>
          </w:tcPr>
          <w:p w:rsidR="00E22C10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ГУРОВА</w:t>
            </w:r>
          </w:p>
          <w:p w:rsidR="00E22C10" w:rsidRPr="00442942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Викторовна</w:t>
            </w:r>
          </w:p>
        </w:tc>
      </w:tr>
      <w:tr w:rsidR="00E22C10" w:rsidRPr="00442942" w:rsidTr="00E22C10">
        <w:trPr>
          <w:trHeight w:val="6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Ведущий советник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отдела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 xml:space="preserve">оборота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реализации земельной политики в муниципальных образованиях и мобилизации дополнительных доходов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департамента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имущественных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земельных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2942">
              <w:rPr>
                <w:rFonts w:eastAsiaTheme="minorHAnsi"/>
                <w:sz w:val="28"/>
                <w:szCs w:val="28"/>
                <w:lang w:eastAsia="en-US"/>
              </w:rPr>
              <w:t xml:space="preserve">области </w:t>
            </w:r>
          </w:p>
        </w:tc>
        <w:tc>
          <w:tcPr>
            <w:tcW w:w="3544" w:type="dxa"/>
            <w:vAlign w:val="center"/>
          </w:tcPr>
          <w:p w:rsidR="00E22C10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ГУДИЛИН </w:t>
            </w:r>
          </w:p>
          <w:p w:rsidR="00E22C10" w:rsidRPr="00442942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Борис Геннадьевич </w:t>
            </w:r>
          </w:p>
        </w:tc>
      </w:tr>
      <w:tr w:rsidR="00E22C10" w:rsidRPr="00324FDB" w:rsidTr="00E22C10">
        <w:trPr>
          <w:trHeight w:val="6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Начальник отдела инвестиционного планирования и сопровождения проектов</w:t>
            </w:r>
          </w:p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департамента аграрной политики Воронежской области</w:t>
            </w:r>
          </w:p>
        </w:tc>
        <w:tc>
          <w:tcPr>
            <w:tcW w:w="3544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="Calibri"/>
                <w:sz w:val="28"/>
                <w:szCs w:val="28"/>
                <w:lang w:eastAsia="en-US"/>
              </w:rPr>
            </w:pPr>
            <w:r w:rsidRPr="00324FDB">
              <w:rPr>
                <w:rFonts w:eastAsia="Calibri"/>
                <w:sz w:val="28"/>
                <w:szCs w:val="28"/>
                <w:lang w:eastAsia="en-US"/>
              </w:rPr>
              <w:t>ПОДГОРНОВ</w:t>
            </w:r>
          </w:p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="Calibri"/>
                <w:sz w:val="28"/>
                <w:szCs w:val="28"/>
                <w:lang w:eastAsia="en-US"/>
              </w:rPr>
            </w:pPr>
            <w:r w:rsidRPr="00324FDB">
              <w:rPr>
                <w:rFonts w:eastAsia="Calibri"/>
                <w:sz w:val="28"/>
                <w:szCs w:val="28"/>
                <w:lang w:eastAsia="en-US"/>
              </w:rPr>
              <w:t>Иван Владимирович</w:t>
            </w:r>
          </w:p>
        </w:tc>
      </w:tr>
      <w:tr w:rsidR="00E22C10" w:rsidRPr="00324FDB" w:rsidTr="00E22C10">
        <w:trPr>
          <w:trHeight w:val="4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региональной финансово-налоговой политики департамента экономического развития Воронежской области </w:t>
            </w:r>
          </w:p>
        </w:tc>
        <w:tc>
          <w:tcPr>
            <w:tcW w:w="3544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ШИЛОВ</w:t>
            </w:r>
          </w:p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Николай Анатольевич</w:t>
            </w:r>
          </w:p>
        </w:tc>
      </w:tr>
      <w:tr w:rsidR="00E22C10" w:rsidRPr="00324FDB" w:rsidTr="00E22C10">
        <w:trPr>
          <w:trHeight w:val="698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_Toc349832828"/>
            <w:bookmarkStart w:id="3" w:name="_Toc360785900"/>
            <w:r w:rsidRPr="00324FDB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отдела обрабатывающих производств промышленности департамента промышленности Воронежской области</w:t>
            </w:r>
            <w:bookmarkEnd w:id="2"/>
            <w:bookmarkEnd w:id="3"/>
            <w:proofErr w:type="gramEnd"/>
          </w:p>
        </w:tc>
        <w:tc>
          <w:tcPr>
            <w:tcW w:w="3544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ЯШИН</w:t>
            </w:r>
          </w:p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Олег Витальевич</w:t>
            </w:r>
          </w:p>
        </w:tc>
      </w:tr>
      <w:tr w:rsidR="00E22C10" w:rsidRPr="00324FDB" w:rsidTr="00E22C10">
        <w:trPr>
          <w:trHeight w:val="1234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отдела организации дорожной деятельности департамента транспорта</w:t>
            </w:r>
            <w:proofErr w:type="gramEnd"/>
            <w:r w:rsidRPr="00324FDB">
              <w:rPr>
                <w:rFonts w:eastAsiaTheme="minorHAnsi"/>
                <w:sz w:val="28"/>
                <w:szCs w:val="28"/>
                <w:lang w:eastAsia="en-US"/>
              </w:rPr>
              <w:t xml:space="preserve"> и автомобильных дорог Воронежской области</w:t>
            </w:r>
          </w:p>
        </w:tc>
        <w:tc>
          <w:tcPr>
            <w:tcW w:w="3544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ГУГНИВЕНКО</w:t>
            </w:r>
          </w:p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Сергей Николаевич</w:t>
            </w:r>
          </w:p>
        </w:tc>
      </w:tr>
      <w:tr w:rsidR="00E22C10" w:rsidRPr="00324FDB" w:rsidTr="00E22C10">
        <w:trPr>
          <w:trHeight w:val="8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Начальник отдела обеспечения бюджетного процесса – главный бухгалтер департамента культуры Воронежской области</w:t>
            </w:r>
          </w:p>
        </w:tc>
        <w:tc>
          <w:tcPr>
            <w:tcW w:w="3544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="Calibri"/>
                <w:sz w:val="28"/>
                <w:szCs w:val="28"/>
                <w:lang w:eastAsia="en-US"/>
              </w:rPr>
              <w:t>МЕЛИХОВА</w:t>
            </w:r>
          </w:p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="Calibri"/>
                <w:sz w:val="28"/>
                <w:szCs w:val="28"/>
                <w:lang w:eastAsia="en-US"/>
              </w:rPr>
              <w:t>Илона Валерьевна</w:t>
            </w:r>
          </w:p>
        </w:tc>
      </w:tr>
      <w:tr w:rsidR="00E22C10" w:rsidRPr="00442942" w:rsidTr="00E22C10">
        <w:trPr>
          <w:trHeight w:val="8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8" w:type="dxa"/>
            <w:gridSpan w:val="2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 w:rsidRPr="00324FDB">
              <w:rPr>
                <w:rFonts w:eastAsiaTheme="minorHAnsi"/>
                <w:sz w:val="28"/>
                <w:szCs w:val="28"/>
                <w:lang w:eastAsia="en-US"/>
              </w:rPr>
              <w:t>Исполняющий обязанности  генерального директора АО «Земельный залоговый фонд Воронежской области»</w:t>
            </w:r>
          </w:p>
        </w:tc>
        <w:tc>
          <w:tcPr>
            <w:tcW w:w="3544" w:type="dxa"/>
            <w:vAlign w:val="center"/>
          </w:tcPr>
          <w:p w:rsidR="00E22C10" w:rsidRPr="00324FDB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="Calibri"/>
                <w:sz w:val="28"/>
                <w:szCs w:val="28"/>
                <w:lang w:eastAsia="en-US"/>
              </w:rPr>
            </w:pPr>
            <w:r w:rsidRPr="00324FDB">
              <w:rPr>
                <w:rFonts w:eastAsia="Calibri"/>
                <w:sz w:val="28"/>
                <w:szCs w:val="28"/>
                <w:lang w:eastAsia="en-US"/>
              </w:rPr>
              <w:t>КЛИМОВ</w:t>
            </w:r>
          </w:p>
          <w:p w:rsidR="00E22C10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="Calibri"/>
                <w:sz w:val="28"/>
                <w:szCs w:val="28"/>
                <w:lang w:eastAsia="en-US"/>
              </w:rPr>
            </w:pPr>
            <w:r w:rsidRPr="00324FDB">
              <w:rPr>
                <w:rFonts w:eastAsia="Calibri"/>
                <w:sz w:val="28"/>
                <w:szCs w:val="28"/>
                <w:lang w:eastAsia="en-US"/>
              </w:rPr>
              <w:t>Сергей Геннадьевич</w:t>
            </w:r>
          </w:p>
        </w:tc>
      </w:tr>
      <w:tr w:rsidR="00E22C10" w:rsidRPr="00442942" w:rsidTr="00E22C10">
        <w:trPr>
          <w:trHeight w:val="800"/>
          <w:tblCellSpacing w:w="5" w:type="nil"/>
          <w:jc w:val="center"/>
        </w:trPr>
        <w:tc>
          <w:tcPr>
            <w:tcW w:w="568" w:type="dxa"/>
            <w:vAlign w:val="center"/>
          </w:tcPr>
          <w:p w:rsidR="00E22C10" w:rsidRPr="00442942" w:rsidRDefault="00E22C10" w:rsidP="00525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28" w:type="dxa"/>
            <w:gridSpan w:val="2"/>
            <w:vAlign w:val="center"/>
          </w:tcPr>
          <w:p w:rsidR="00E22C10" w:rsidRDefault="00E22C10" w:rsidP="00525BCD">
            <w:pPr>
              <w:autoSpaceDE w:val="0"/>
              <w:autoSpaceDN w:val="0"/>
              <w:adjustRightInd w:val="0"/>
              <w:ind w:left="85" w:right="10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Органы местного самоуправления муниципальных районов (городских округов) Воронежской области</w:t>
            </w:r>
          </w:p>
        </w:tc>
        <w:tc>
          <w:tcPr>
            <w:tcW w:w="3544" w:type="dxa"/>
            <w:vAlign w:val="center"/>
          </w:tcPr>
          <w:p w:rsidR="00E22C10" w:rsidRPr="00D53898" w:rsidRDefault="00E22C10" w:rsidP="00525BCD">
            <w:pPr>
              <w:autoSpaceDE w:val="0"/>
              <w:autoSpaceDN w:val="0"/>
              <w:adjustRightInd w:val="0"/>
              <w:ind w:left="102" w:right="10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E22C10" w:rsidRDefault="00E22C10" w:rsidP="00E22C10">
      <w:pPr>
        <w:pStyle w:val="a5"/>
        <w:spacing w:before="240" w:line="257" w:lineRule="auto"/>
        <w:rPr>
          <w:szCs w:val="28"/>
        </w:rPr>
      </w:pPr>
    </w:p>
    <w:p w:rsidR="00E22C10" w:rsidRDefault="00E22C10" w:rsidP="00E22C10"/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p w:rsidR="00E22C10" w:rsidRDefault="00E22C10" w:rsidP="004C4806">
      <w:pPr>
        <w:rPr>
          <w:szCs w:val="28"/>
        </w:rPr>
      </w:pPr>
    </w:p>
    <w:tbl>
      <w:tblPr>
        <w:tblW w:w="10384" w:type="dxa"/>
        <w:jc w:val="center"/>
        <w:tblInd w:w="-1133" w:type="dxa"/>
        <w:tblLook w:val="01E0"/>
      </w:tblPr>
      <w:tblGrid>
        <w:gridCol w:w="5705"/>
        <w:gridCol w:w="4679"/>
      </w:tblGrid>
      <w:tr w:rsidR="00E22C10" w:rsidRPr="00C32D7D" w:rsidTr="00525BCD">
        <w:trPr>
          <w:trHeight w:val="707"/>
          <w:jc w:val="center"/>
        </w:trPr>
        <w:tc>
          <w:tcPr>
            <w:tcW w:w="5705" w:type="dxa"/>
          </w:tcPr>
          <w:p w:rsidR="00E22C10" w:rsidRPr="00D53898" w:rsidRDefault="00E22C10" w:rsidP="00525BCD">
            <w:pPr>
              <w:ind w:left="342" w:firstLine="73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</w:tcPr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проекту приказа</w:t>
            </w: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департамента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имущественных и земельных отношений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Воронежской области</w:t>
            </w:r>
          </w:p>
          <w:p w:rsidR="00E22C10" w:rsidRPr="00C32D7D" w:rsidRDefault="00E22C10" w:rsidP="00525BCD">
            <w:pPr>
              <w:pStyle w:val="ConsTitle"/>
              <w:widowControl/>
              <w:ind w:left="6" w:right="-51" w:hanging="6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«____»___________20____г. №</w:t>
            </w:r>
            <w:r w:rsidRPr="00C32D7D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</w:t>
            </w:r>
          </w:p>
        </w:tc>
      </w:tr>
    </w:tbl>
    <w:p w:rsidR="00E22C10" w:rsidRDefault="00E22C10" w:rsidP="00E22C10">
      <w:pPr>
        <w:jc w:val="center"/>
        <w:rPr>
          <w:b/>
          <w:sz w:val="26"/>
          <w:szCs w:val="26"/>
        </w:rPr>
      </w:pPr>
    </w:p>
    <w:p w:rsidR="00E22C10" w:rsidRDefault="00E22C10" w:rsidP="00E22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:rsidR="00E22C10" w:rsidRDefault="00E22C10" w:rsidP="00E22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E22C10" w:rsidRDefault="00E22C10" w:rsidP="00E22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(вопрос, предлагаемый к рассмотрению членов экспертного совета)</w:t>
      </w:r>
    </w:p>
    <w:p w:rsidR="00E22C10" w:rsidRDefault="00E22C10" w:rsidP="00E22C10">
      <w:pPr>
        <w:jc w:val="center"/>
        <w:rPr>
          <w:b/>
          <w:sz w:val="26"/>
          <w:szCs w:val="26"/>
        </w:rPr>
      </w:pPr>
    </w:p>
    <w:p w:rsidR="00E22C10" w:rsidRDefault="00E22C10" w:rsidP="00E22C10">
      <w:pPr>
        <w:jc w:val="center"/>
        <w:rPr>
          <w:b/>
          <w:sz w:val="26"/>
          <w:szCs w:val="26"/>
        </w:rPr>
      </w:pPr>
    </w:p>
    <w:p w:rsidR="00E22C10" w:rsidRDefault="00E22C10" w:rsidP="00E22C10">
      <w:pPr>
        <w:jc w:val="center"/>
        <w:rPr>
          <w:sz w:val="26"/>
          <w:szCs w:val="26"/>
        </w:rPr>
      </w:pPr>
      <w:r w:rsidRPr="00F76252">
        <w:rPr>
          <w:sz w:val="26"/>
          <w:szCs w:val="26"/>
        </w:rPr>
        <w:t>Перечень земельных участков</w:t>
      </w:r>
      <w:r>
        <w:rPr>
          <w:sz w:val="26"/>
          <w:szCs w:val="26"/>
        </w:rPr>
        <w:t>,</w:t>
      </w:r>
    </w:p>
    <w:p w:rsidR="00E22C10" w:rsidRDefault="00E22C10" w:rsidP="00E22C10">
      <w:pPr>
        <w:jc w:val="center"/>
        <w:rPr>
          <w:sz w:val="26"/>
          <w:szCs w:val="26"/>
        </w:rPr>
      </w:pPr>
      <w:r w:rsidRPr="00DC4AF9">
        <w:rPr>
          <w:sz w:val="26"/>
          <w:szCs w:val="26"/>
        </w:rPr>
        <w:t>предлагаемы</w:t>
      </w:r>
      <w:r>
        <w:rPr>
          <w:sz w:val="26"/>
          <w:szCs w:val="26"/>
        </w:rPr>
        <w:t>х</w:t>
      </w:r>
      <w:r w:rsidRPr="00DC4AF9">
        <w:rPr>
          <w:sz w:val="26"/>
          <w:szCs w:val="26"/>
        </w:rPr>
        <w:t xml:space="preserve"> к рассмотрению членов экспертного совета</w:t>
      </w:r>
    </w:p>
    <w:p w:rsidR="00E22C10" w:rsidRDefault="00E22C10" w:rsidP="00E22C10">
      <w:pPr>
        <w:jc w:val="center"/>
        <w:rPr>
          <w:sz w:val="26"/>
          <w:szCs w:val="26"/>
        </w:rPr>
      </w:pPr>
    </w:p>
    <w:p w:rsidR="00E22C10" w:rsidRPr="00F76252" w:rsidRDefault="00E22C10" w:rsidP="00E22C10">
      <w:pPr>
        <w:jc w:val="center"/>
        <w:rPr>
          <w:sz w:val="26"/>
          <w:szCs w:val="26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2112"/>
        <w:gridCol w:w="2268"/>
        <w:gridCol w:w="1305"/>
        <w:gridCol w:w="1439"/>
        <w:gridCol w:w="2926"/>
      </w:tblGrid>
      <w:tr w:rsidR="00E22C10" w:rsidRPr="00657618" w:rsidTr="00525BCD">
        <w:trPr>
          <w:trHeight w:val="855"/>
          <w:tblHeader/>
        </w:trPr>
        <w:tc>
          <w:tcPr>
            <w:tcW w:w="455" w:type="dxa"/>
            <w:shd w:val="clear" w:color="auto" w:fill="auto"/>
            <w:vAlign w:val="center"/>
            <w:hideMark/>
          </w:tcPr>
          <w:p w:rsidR="00E22C10" w:rsidRPr="00657618" w:rsidRDefault="00E22C10" w:rsidP="00525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12" w:type="dxa"/>
            <w:vAlign w:val="center"/>
          </w:tcPr>
          <w:p w:rsidR="00E22C10" w:rsidRPr="00657618" w:rsidRDefault="00E22C10" w:rsidP="00525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2C10" w:rsidRPr="00657618" w:rsidRDefault="00E22C10" w:rsidP="00525BCD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65761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E22C10" w:rsidRPr="00657618" w:rsidRDefault="00E22C10" w:rsidP="00525BCD">
            <w:pPr>
              <w:jc w:val="center"/>
              <w:rPr>
                <w:b/>
                <w:bCs/>
                <w:color w:val="000000"/>
              </w:rPr>
            </w:pPr>
            <w:r w:rsidRPr="00657618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</w:rPr>
              <w:t>га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22C10" w:rsidRPr="00657618" w:rsidRDefault="00E22C10" w:rsidP="00525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Условная рыночная стоимость (руб.)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E22C10" w:rsidRPr="00657618" w:rsidRDefault="00E22C10" w:rsidP="00525BCD">
            <w:pPr>
              <w:jc w:val="center"/>
              <w:rPr>
                <w:b/>
                <w:bCs/>
                <w:color w:val="000000"/>
              </w:rPr>
            </w:pPr>
            <w:r w:rsidRPr="00657618">
              <w:rPr>
                <w:b/>
                <w:bCs/>
                <w:color w:val="000000"/>
              </w:rPr>
              <w:t>Разрешенное использование</w:t>
            </w:r>
          </w:p>
        </w:tc>
      </w:tr>
      <w:tr w:rsidR="00E22C10" w:rsidRPr="00657618" w:rsidTr="00525BCD">
        <w:trPr>
          <w:trHeight w:val="269"/>
        </w:trPr>
        <w:tc>
          <w:tcPr>
            <w:tcW w:w="455" w:type="dxa"/>
            <w:shd w:val="clear" w:color="auto" w:fill="auto"/>
            <w:vAlign w:val="center"/>
          </w:tcPr>
          <w:p w:rsidR="00E22C10" w:rsidRPr="00A12B56" w:rsidRDefault="00E22C10" w:rsidP="00E22C10">
            <w:pPr>
              <w:pStyle w:val="ad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E22C10" w:rsidRDefault="00E22C10" w:rsidP="00525BCD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C10" w:rsidRPr="00E66A80" w:rsidRDefault="00E22C10" w:rsidP="00525BCD">
            <w:pPr>
              <w:ind w:left="34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22C10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22C10" w:rsidRPr="00A12B56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22C10" w:rsidRDefault="00E22C10" w:rsidP="00525BCD"/>
        </w:tc>
      </w:tr>
      <w:tr w:rsidR="00E22C10" w:rsidRPr="00657618" w:rsidTr="00525BCD">
        <w:trPr>
          <w:trHeight w:val="319"/>
        </w:trPr>
        <w:tc>
          <w:tcPr>
            <w:tcW w:w="455" w:type="dxa"/>
            <w:shd w:val="clear" w:color="auto" w:fill="auto"/>
            <w:vAlign w:val="center"/>
          </w:tcPr>
          <w:p w:rsidR="00E22C10" w:rsidRPr="00A12B56" w:rsidRDefault="00E22C10" w:rsidP="00E22C10">
            <w:pPr>
              <w:pStyle w:val="ad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E22C10" w:rsidRDefault="00E22C10" w:rsidP="00525BCD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C10" w:rsidRDefault="00E22C10" w:rsidP="00525BCD">
            <w:pPr>
              <w:ind w:left="34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22C10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22C10" w:rsidRPr="00A12B56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22C10" w:rsidRDefault="00E22C10" w:rsidP="00525BCD"/>
        </w:tc>
      </w:tr>
      <w:tr w:rsidR="00E22C10" w:rsidRPr="00657618" w:rsidTr="00525BCD">
        <w:trPr>
          <w:trHeight w:val="319"/>
        </w:trPr>
        <w:tc>
          <w:tcPr>
            <w:tcW w:w="455" w:type="dxa"/>
            <w:shd w:val="clear" w:color="auto" w:fill="auto"/>
            <w:vAlign w:val="center"/>
          </w:tcPr>
          <w:p w:rsidR="00E22C10" w:rsidRPr="00A12B56" w:rsidRDefault="00E22C10" w:rsidP="00E22C10">
            <w:pPr>
              <w:pStyle w:val="ad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E22C10" w:rsidRDefault="00E22C10" w:rsidP="00525BCD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C10" w:rsidRDefault="00E22C10" w:rsidP="00525BCD">
            <w:pPr>
              <w:ind w:left="34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22C10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22C10" w:rsidRPr="00A12B56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22C10" w:rsidRDefault="00E22C10" w:rsidP="00525BCD"/>
        </w:tc>
      </w:tr>
      <w:tr w:rsidR="00E22C10" w:rsidRPr="00657618" w:rsidTr="00525BCD">
        <w:trPr>
          <w:trHeight w:val="269"/>
        </w:trPr>
        <w:tc>
          <w:tcPr>
            <w:tcW w:w="455" w:type="dxa"/>
            <w:shd w:val="clear" w:color="auto" w:fill="auto"/>
            <w:vAlign w:val="center"/>
          </w:tcPr>
          <w:p w:rsidR="00E22C10" w:rsidRPr="00A12B56" w:rsidRDefault="00E22C10" w:rsidP="00E22C10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E22C10" w:rsidRDefault="00E22C10" w:rsidP="00525BCD"/>
        </w:tc>
        <w:tc>
          <w:tcPr>
            <w:tcW w:w="2268" w:type="dxa"/>
            <w:shd w:val="clear" w:color="auto" w:fill="auto"/>
            <w:vAlign w:val="center"/>
          </w:tcPr>
          <w:p w:rsidR="00E22C10" w:rsidRPr="00E66A80" w:rsidRDefault="00E22C10" w:rsidP="00525BCD">
            <w:pPr>
              <w:ind w:left="34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22C10" w:rsidRPr="00E66A80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22C10" w:rsidRPr="00A12B56" w:rsidRDefault="00E22C10" w:rsidP="00525B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22C10" w:rsidRDefault="00E22C10" w:rsidP="00525BCD"/>
        </w:tc>
      </w:tr>
    </w:tbl>
    <w:p w:rsidR="00E22C10" w:rsidRDefault="00E22C10" w:rsidP="00E22C10">
      <w:pPr>
        <w:pStyle w:val="a3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Принятое решение: _________________________________________________________</w:t>
      </w:r>
    </w:p>
    <w:p w:rsidR="00E22C10" w:rsidRDefault="00E22C10" w:rsidP="00E22C10">
      <w:pPr>
        <w:pStyle w:val="a3"/>
        <w:ind w:left="2124"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(за, против, замечания члена экспертного совета)</w:t>
      </w:r>
    </w:p>
    <w:p w:rsidR="00E22C10" w:rsidRDefault="00E22C10" w:rsidP="00E22C10">
      <w:pPr>
        <w:pStyle w:val="a3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</w:t>
      </w:r>
    </w:p>
    <w:p w:rsidR="00E22C10" w:rsidRDefault="00E22C10" w:rsidP="00E22C10">
      <w:pPr>
        <w:pStyle w:val="a3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</w:t>
      </w: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Член экспертного совета</w:t>
      </w:r>
      <w:r w:rsidRPr="00F76252">
        <w:rPr>
          <w:rFonts w:ascii="Times New Roman" w:hAnsi="Times New Roman"/>
          <w:szCs w:val="28"/>
        </w:rPr>
        <w:t xml:space="preserve"> по отбору земельных участков </w:t>
      </w: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  <w:r w:rsidRPr="00F76252">
        <w:rPr>
          <w:rFonts w:ascii="Times New Roman" w:hAnsi="Times New Roman"/>
          <w:szCs w:val="28"/>
        </w:rPr>
        <w:t>для формирования земельного залогового фонда</w:t>
      </w: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  <w:r w:rsidRPr="00F76252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</w:t>
      </w: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pBdr>
          <w:bottom w:val="single" w:sz="12" w:space="1" w:color="auto"/>
        </w:pBdr>
        <w:rPr>
          <w:rFonts w:ascii="Times New Roman" w:hAnsi="Times New Roman"/>
          <w:szCs w:val="28"/>
        </w:rPr>
      </w:pPr>
    </w:p>
    <w:p w:rsidR="00E22C10" w:rsidRDefault="00E22C10" w:rsidP="00E22C10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(дата)                     (подпись)                                (расшифровка Ф.И.О.)</w:t>
      </w:r>
    </w:p>
    <w:p w:rsidR="00E22C10" w:rsidRPr="006E366B" w:rsidRDefault="00E22C10" w:rsidP="004C4806">
      <w:pPr>
        <w:rPr>
          <w:szCs w:val="28"/>
        </w:rPr>
      </w:pPr>
    </w:p>
    <w:sectPr w:rsidR="00E22C10" w:rsidRPr="006E366B" w:rsidSect="00E22C10">
      <w:headerReference w:type="default" r:id="rId10"/>
      <w:pgSz w:w="11906" w:h="16838"/>
      <w:pgMar w:top="1134" w:right="567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4F" w:rsidRDefault="00AD1E4F" w:rsidP="00C06073">
      <w:r>
        <w:separator/>
      </w:r>
    </w:p>
  </w:endnote>
  <w:endnote w:type="continuationSeparator" w:id="0">
    <w:p w:rsidR="00AD1E4F" w:rsidRDefault="00AD1E4F" w:rsidP="00C0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4F" w:rsidRDefault="00AD1E4F" w:rsidP="00C06073">
      <w:r>
        <w:separator/>
      </w:r>
    </w:p>
  </w:footnote>
  <w:footnote w:type="continuationSeparator" w:id="0">
    <w:p w:rsidR="00AD1E4F" w:rsidRDefault="00AD1E4F" w:rsidP="00C06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067085"/>
      <w:docPartObj>
        <w:docPartGallery w:val="Page Numbers (Top of Page)"/>
        <w:docPartUnique/>
      </w:docPartObj>
    </w:sdtPr>
    <w:sdtContent>
      <w:p w:rsidR="00374B3E" w:rsidRDefault="001F3194">
        <w:pPr>
          <w:pStyle w:val="a7"/>
          <w:jc w:val="center"/>
        </w:pPr>
        <w:r>
          <w:fldChar w:fldCharType="begin"/>
        </w:r>
        <w:r w:rsidR="00374B3E">
          <w:instrText>PAGE   \* MERGEFORMAT</w:instrText>
        </w:r>
        <w:r>
          <w:fldChar w:fldCharType="separate"/>
        </w:r>
        <w:r w:rsidR="00E22C10">
          <w:rPr>
            <w:noProof/>
          </w:rPr>
          <w:t>7</w:t>
        </w:r>
        <w:r>
          <w:fldChar w:fldCharType="end"/>
        </w:r>
      </w:p>
    </w:sdtContent>
  </w:sdt>
  <w:p w:rsidR="00374B3E" w:rsidRDefault="00374B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C8D"/>
    <w:multiLevelType w:val="multilevel"/>
    <w:tmpl w:val="E26E5A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5C36669"/>
    <w:multiLevelType w:val="hybridMultilevel"/>
    <w:tmpl w:val="F52C2880"/>
    <w:lvl w:ilvl="0" w:tplc="128260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3FF6F3F"/>
    <w:multiLevelType w:val="multilevel"/>
    <w:tmpl w:val="48BCCCD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4ADF0F47"/>
    <w:multiLevelType w:val="multilevel"/>
    <w:tmpl w:val="18F60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085DE9"/>
    <w:multiLevelType w:val="multilevel"/>
    <w:tmpl w:val="6BC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F3FB5"/>
    <w:multiLevelType w:val="hybridMultilevel"/>
    <w:tmpl w:val="57A84726"/>
    <w:lvl w:ilvl="0" w:tplc="01E2B9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A1FA4"/>
    <w:multiLevelType w:val="multilevel"/>
    <w:tmpl w:val="21C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47FC4"/>
    <w:multiLevelType w:val="multilevel"/>
    <w:tmpl w:val="CA908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01F33"/>
    <w:multiLevelType w:val="multilevel"/>
    <w:tmpl w:val="1B028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6B056C10"/>
    <w:multiLevelType w:val="hybridMultilevel"/>
    <w:tmpl w:val="0F128580"/>
    <w:lvl w:ilvl="0" w:tplc="ECFE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0A4C77"/>
    <w:multiLevelType w:val="multilevel"/>
    <w:tmpl w:val="7FA4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E3C7E"/>
    <w:multiLevelType w:val="multilevel"/>
    <w:tmpl w:val="5E8ED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FB47FD7"/>
    <w:multiLevelType w:val="hybridMultilevel"/>
    <w:tmpl w:val="3ABE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423"/>
    <w:rsid w:val="00004E1A"/>
    <w:rsid w:val="00050716"/>
    <w:rsid w:val="00080629"/>
    <w:rsid w:val="000871EE"/>
    <w:rsid w:val="000957EB"/>
    <w:rsid w:val="00096812"/>
    <w:rsid w:val="000A32D6"/>
    <w:rsid w:val="000A5B5A"/>
    <w:rsid w:val="000C1099"/>
    <w:rsid w:val="000E07A3"/>
    <w:rsid w:val="000F12E4"/>
    <w:rsid w:val="00101699"/>
    <w:rsid w:val="001020C6"/>
    <w:rsid w:val="001404DD"/>
    <w:rsid w:val="00153079"/>
    <w:rsid w:val="001750FE"/>
    <w:rsid w:val="00184AA2"/>
    <w:rsid w:val="001B661B"/>
    <w:rsid w:val="001C2E45"/>
    <w:rsid w:val="001D3C12"/>
    <w:rsid w:val="001D509A"/>
    <w:rsid w:val="001D783A"/>
    <w:rsid w:val="001F3194"/>
    <w:rsid w:val="00201811"/>
    <w:rsid w:val="002054CF"/>
    <w:rsid w:val="00240423"/>
    <w:rsid w:val="002425D1"/>
    <w:rsid w:val="00267844"/>
    <w:rsid w:val="002929FC"/>
    <w:rsid w:val="002A5707"/>
    <w:rsid w:val="00374B3E"/>
    <w:rsid w:val="003A57FD"/>
    <w:rsid w:val="003B6BEB"/>
    <w:rsid w:val="003C3D92"/>
    <w:rsid w:val="003E5DFC"/>
    <w:rsid w:val="003F18CC"/>
    <w:rsid w:val="003F29BF"/>
    <w:rsid w:val="00412114"/>
    <w:rsid w:val="00416BE1"/>
    <w:rsid w:val="00454B56"/>
    <w:rsid w:val="004641F3"/>
    <w:rsid w:val="004854AA"/>
    <w:rsid w:val="00485A1A"/>
    <w:rsid w:val="004C25F5"/>
    <w:rsid w:val="004C3F08"/>
    <w:rsid w:val="004C4806"/>
    <w:rsid w:val="004C7E1E"/>
    <w:rsid w:val="004D0D99"/>
    <w:rsid w:val="005069C8"/>
    <w:rsid w:val="00511241"/>
    <w:rsid w:val="005656C5"/>
    <w:rsid w:val="005867EF"/>
    <w:rsid w:val="005A42ED"/>
    <w:rsid w:val="005B1771"/>
    <w:rsid w:val="005C4BE1"/>
    <w:rsid w:val="005C6404"/>
    <w:rsid w:val="005E0281"/>
    <w:rsid w:val="00617AAB"/>
    <w:rsid w:val="00632BB7"/>
    <w:rsid w:val="006330D0"/>
    <w:rsid w:val="00667AFB"/>
    <w:rsid w:val="00693E94"/>
    <w:rsid w:val="006B5E8A"/>
    <w:rsid w:val="006E0AD7"/>
    <w:rsid w:val="006E0BF8"/>
    <w:rsid w:val="00702BA1"/>
    <w:rsid w:val="00731529"/>
    <w:rsid w:val="0074046C"/>
    <w:rsid w:val="007D27CF"/>
    <w:rsid w:val="008330D3"/>
    <w:rsid w:val="00837678"/>
    <w:rsid w:val="008600E6"/>
    <w:rsid w:val="0086391C"/>
    <w:rsid w:val="00870CAB"/>
    <w:rsid w:val="008934EF"/>
    <w:rsid w:val="008969E6"/>
    <w:rsid w:val="008A0353"/>
    <w:rsid w:val="008A07BC"/>
    <w:rsid w:val="008C46E3"/>
    <w:rsid w:val="008D08B2"/>
    <w:rsid w:val="008E404E"/>
    <w:rsid w:val="00905FC9"/>
    <w:rsid w:val="009153AA"/>
    <w:rsid w:val="0091605A"/>
    <w:rsid w:val="00947220"/>
    <w:rsid w:val="00972AB2"/>
    <w:rsid w:val="009848AE"/>
    <w:rsid w:val="009B6092"/>
    <w:rsid w:val="00A07DDC"/>
    <w:rsid w:val="00A17A83"/>
    <w:rsid w:val="00A20B75"/>
    <w:rsid w:val="00A311CE"/>
    <w:rsid w:val="00A351AE"/>
    <w:rsid w:val="00A549C3"/>
    <w:rsid w:val="00A650FF"/>
    <w:rsid w:val="00A76336"/>
    <w:rsid w:val="00AA364F"/>
    <w:rsid w:val="00AA4DAB"/>
    <w:rsid w:val="00AD1E4F"/>
    <w:rsid w:val="00AE14A0"/>
    <w:rsid w:val="00B14427"/>
    <w:rsid w:val="00BA3C32"/>
    <w:rsid w:val="00BA6B99"/>
    <w:rsid w:val="00BC2835"/>
    <w:rsid w:val="00BC61A8"/>
    <w:rsid w:val="00C06073"/>
    <w:rsid w:val="00C128AC"/>
    <w:rsid w:val="00C21D62"/>
    <w:rsid w:val="00C338A7"/>
    <w:rsid w:val="00C62E7D"/>
    <w:rsid w:val="00CA0538"/>
    <w:rsid w:val="00CA1D33"/>
    <w:rsid w:val="00CA6CCA"/>
    <w:rsid w:val="00CB25F5"/>
    <w:rsid w:val="00CC6C83"/>
    <w:rsid w:val="00CE50E2"/>
    <w:rsid w:val="00D2324F"/>
    <w:rsid w:val="00D2693E"/>
    <w:rsid w:val="00D85DF5"/>
    <w:rsid w:val="00D90E68"/>
    <w:rsid w:val="00D94717"/>
    <w:rsid w:val="00DB0326"/>
    <w:rsid w:val="00DB2BC7"/>
    <w:rsid w:val="00DE20AD"/>
    <w:rsid w:val="00DE52A2"/>
    <w:rsid w:val="00DF774C"/>
    <w:rsid w:val="00DF7CC5"/>
    <w:rsid w:val="00E105FA"/>
    <w:rsid w:val="00E153E5"/>
    <w:rsid w:val="00E22C10"/>
    <w:rsid w:val="00E23551"/>
    <w:rsid w:val="00E415CC"/>
    <w:rsid w:val="00E4307F"/>
    <w:rsid w:val="00E75E4A"/>
    <w:rsid w:val="00E95BB5"/>
    <w:rsid w:val="00EB7FF3"/>
    <w:rsid w:val="00EF5E91"/>
    <w:rsid w:val="00F13519"/>
    <w:rsid w:val="00F138A6"/>
    <w:rsid w:val="00F146D6"/>
    <w:rsid w:val="00F22BEC"/>
    <w:rsid w:val="00F2697B"/>
    <w:rsid w:val="00F52818"/>
    <w:rsid w:val="00F551CF"/>
    <w:rsid w:val="00F57EA3"/>
    <w:rsid w:val="00F65135"/>
    <w:rsid w:val="00F71DB9"/>
    <w:rsid w:val="00F97BBA"/>
    <w:rsid w:val="00FA601F"/>
    <w:rsid w:val="00FF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2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0423"/>
    <w:pPr>
      <w:keepNext/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042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3">
    <w:name w:val="Обычный.Название подразделения"/>
    <w:link w:val="a4"/>
    <w:rsid w:val="00240423"/>
    <w:pPr>
      <w:spacing w:line="240" w:lineRule="auto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4042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24042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2404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0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240423"/>
    <w:pPr>
      <w:ind w:right="-54" w:firstLine="342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240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rsid w:val="00240423"/>
    <w:pPr>
      <w:tabs>
        <w:tab w:val="left" w:pos="360"/>
        <w:tab w:val="left" w:pos="720"/>
        <w:tab w:val="left" w:pos="90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2404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utback">
    <w:name w:val="butback"/>
    <w:basedOn w:val="a0"/>
    <w:rsid w:val="006E0AD7"/>
  </w:style>
  <w:style w:type="character" w:customStyle="1" w:styleId="apple-converted-space">
    <w:name w:val="apple-converted-space"/>
    <w:basedOn w:val="a0"/>
    <w:rsid w:val="006E0AD7"/>
  </w:style>
  <w:style w:type="character" w:customStyle="1" w:styleId="submenu-table">
    <w:name w:val="submenu-table"/>
    <w:basedOn w:val="a0"/>
    <w:rsid w:val="006E0AD7"/>
  </w:style>
  <w:style w:type="paragraph" w:styleId="ad">
    <w:name w:val="List Paragraph"/>
    <w:basedOn w:val="a"/>
    <w:uiPriority w:val="34"/>
    <w:qFormat/>
    <w:rsid w:val="003B6BEB"/>
    <w:pPr>
      <w:ind w:left="720"/>
      <w:contextualSpacing/>
    </w:pPr>
  </w:style>
  <w:style w:type="paragraph" w:customStyle="1" w:styleId="ConsPlusNonformat">
    <w:name w:val="ConsPlusNonformat"/>
    <w:uiPriority w:val="99"/>
    <w:rsid w:val="001D783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47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471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C060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06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9B6092"/>
  </w:style>
  <w:style w:type="paragraph" w:customStyle="1" w:styleId="ConsPlusNormal">
    <w:name w:val="ConsPlusNormal"/>
    <w:rsid w:val="00FF0FF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E22C10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Обычный.Название подразделения Знак"/>
    <w:basedOn w:val="a0"/>
    <w:link w:val="a3"/>
    <w:rsid w:val="00E22C10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5FF55-3F80-4154-B385-FD722824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GudilinBG</dc:creator>
  <cp:lastModifiedBy>RusskihES</cp:lastModifiedBy>
  <cp:revision>2</cp:revision>
  <cp:lastPrinted>2017-08-16T08:25:00Z</cp:lastPrinted>
  <dcterms:created xsi:type="dcterms:W3CDTF">2017-10-26T08:57:00Z</dcterms:created>
  <dcterms:modified xsi:type="dcterms:W3CDTF">2017-10-26T08:57:00Z</dcterms:modified>
</cp:coreProperties>
</file>