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501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1A5501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1A5501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 w:rsidRPr="001A5501"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 w:rsidRPr="001A5501"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CE5F28" w:rsidRPr="001A5501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1A55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53E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="00521FAE" w:rsidRPr="001A5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F28" w:rsidRPr="001A5501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1A5501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F4F" w:rsidRPr="00524F48" w:rsidRDefault="008C7F4F" w:rsidP="008C7F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</w:t>
      </w:r>
      <w:r w:rsidRPr="00523A0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8C7F4F" w:rsidRDefault="008C7F4F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2A553E" w:rsidRPr="002A553E">
        <w:rPr>
          <w:rFonts w:ascii="Times New Roman" w:hAnsi="Times New Roman"/>
          <w:sz w:val="24"/>
          <w:szCs w:val="24"/>
        </w:rPr>
        <w:t>20.0</w:t>
      </w:r>
      <w:r w:rsidR="0053526D" w:rsidRPr="002A553E">
        <w:rPr>
          <w:rFonts w:ascii="Times New Roman" w:hAnsi="Times New Roman"/>
          <w:sz w:val="24"/>
          <w:szCs w:val="24"/>
        </w:rPr>
        <w:t>2</w:t>
      </w:r>
      <w:r w:rsidR="002A553E" w:rsidRPr="002A553E">
        <w:rPr>
          <w:rFonts w:ascii="Times New Roman" w:hAnsi="Times New Roman"/>
          <w:sz w:val="24"/>
          <w:szCs w:val="24"/>
        </w:rPr>
        <w:t>.2019</w:t>
      </w:r>
      <w:r w:rsidR="00521FAE" w:rsidRPr="002A553E">
        <w:rPr>
          <w:rFonts w:ascii="Times New Roman" w:hAnsi="Times New Roman"/>
          <w:sz w:val="24"/>
          <w:szCs w:val="24"/>
        </w:rPr>
        <w:t xml:space="preserve"> </w:t>
      </w:r>
      <w:r w:rsidR="00B70C17" w:rsidRPr="002A553E">
        <w:rPr>
          <w:rFonts w:ascii="Times New Roman" w:hAnsi="Times New Roman"/>
          <w:sz w:val="24"/>
          <w:szCs w:val="24"/>
        </w:rPr>
        <w:t>№</w:t>
      </w:r>
      <w:r w:rsidR="002A553E" w:rsidRPr="002A553E">
        <w:rPr>
          <w:rFonts w:ascii="Times New Roman" w:hAnsi="Times New Roman"/>
          <w:sz w:val="24"/>
          <w:szCs w:val="24"/>
        </w:rPr>
        <w:t xml:space="preserve"> </w:t>
      </w:r>
      <w:r w:rsidR="002A553E">
        <w:rPr>
          <w:rFonts w:ascii="Times New Roman" w:hAnsi="Times New Roman"/>
          <w:sz w:val="24"/>
          <w:szCs w:val="24"/>
        </w:rPr>
        <w:t>387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2A553E" w:rsidRPr="002A553E">
        <w:rPr>
          <w:rFonts w:ascii="Times New Roman" w:hAnsi="Times New Roman" w:cs="Times New Roman"/>
          <w:sz w:val="24"/>
          <w:szCs w:val="24"/>
        </w:rPr>
        <w:t>25</w:t>
      </w:r>
      <w:r w:rsidR="005410C1" w:rsidRPr="002A553E">
        <w:rPr>
          <w:rFonts w:ascii="Times New Roman" w:hAnsi="Times New Roman" w:cs="Times New Roman"/>
          <w:sz w:val="24"/>
          <w:szCs w:val="24"/>
        </w:rPr>
        <w:t xml:space="preserve"> </w:t>
      </w:r>
      <w:r w:rsidR="002A553E">
        <w:rPr>
          <w:rFonts w:ascii="Times New Roman" w:hAnsi="Times New Roman" w:cs="Times New Roman"/>
          <w:sz w:val="24"/>
          <w:szCs w:val="24"/>
        </w:rPr>
        <w:t>февраля</w:t>
      </w:r>
      <w:r w:rsidR="00C75840">
        <w:rPr>
          <w:rFonts w:ascii="Times New Roman" w:hAnsi="Times New Roman" w:cs="Times New Roman"/>
          <w:sz w:val="24"/>
          <w:szCs w:val="24"/>
        </w:rPr>
        <w:t xml:space="preserve"> 2019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78443F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2A553E" w:rsidRPr="002A553E">
        <w:rPr>
          <w:rFonts w:ascii="Times New Roman" w:hAnsi="Times New Roman" w:cs="Times New Roman"/>
          <w:sz w:val="24"/>
          <w:szCs w:val="24"/>
        </w:rPr>
        <w:t>22</w:t>
      </w:r>
      <w:r w:rsidR="005410C1" w:rsidRPr="002A553E">
        <w:rPr>
          <w:rFonts w:ascii="Times New Roman" w:hAnsi="Times New Roman" w:cs="Times New Roman"/>
          <w:sz w:val="24"/>
          <w:szCs w:val="24"/>
        </w:rPr>
        <w:t xml:space="preserve"> </w:t>
      </w:r>
      <w:r w:rsidR="002A553E">
        <w:rPr>
          <w:rFonts w:ascii="Times New Roman" w:hAnsi="Times New Roman" w:cs="Times New Roman"/>
          <w:sz w:val="24"/>
          <w:szCs w:val="24"/>
        </w:rPr>
        <w:t>марта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2A553E" w:rsidRPr="002A553E">
        <w:rPr>
          <w:rFonts w:ascii="Times New Roman" w:hAnsi="Times New Roman" w:cs="Times New Roman"/>
          <w:sz w:val="24"/>
          <w:szCs w:val="24"/>
        </w:rPr>
        <w:t>25</w:t>
      </w:r>
      <w:r w:rsidR="005410C1" w:rsidRPr="002A553E">
        <w:rPr>
          <w:rFonts w:ascii="Times New Roman" w:hAnsi="Times New Roman" w:cs="Times New Roman"/>
          <w:sz w:val="24"/>
          <w:szCs w:val="24"/>
        </w:rPr>
        <w:t xml:space="preserve"> </w:t>
      </w:r>
      <w:r w:rsidR="002A553E">
        <w:rPr>
          <w:rFonts w:ascii="Times New Roman" w:hAnsi="Times New Roman" w:cs="Times New Roman"/>
          <w:sz w:val="24"/>
          <w:szCs w:val="24"/>
        </w:rPr>
        <w:t>марта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2A553E" w:rsidRPr="002A553E">
        <w:rPr>
          <w:rFonts w:ascii="Times New Roman" w:hAnsi="Times New Roman" w:cs="Times New Roman"/>
          <w:sz w:val="24"/>
          <w:szCs w:val="24"/>
        </w:rPr>
        <w:t>27</w:t>
      </w:r>
      <w:r w:rsidR="005410C1" w:rsidRPr="002A553E">
        <w:rPr>
          <w:rFonts w:ascii="Times New Roman" w:hAnsi="Times New Roman" w:cs="Times New Roman"/>
          <w:sz w:val="24"/>
          <w:szCs w:val="24"/>
        </w:rPr>
        <w:t xml:space="preserve"> </w:t>
      </w:r>
      <w:r w:rsidR="002A553E">
        <w:rPr>
          <w:rFonts w:ascii="Times New Roman" w:hAnsi="Times New Roman" w:cs="Times New Roman"/>
          <w:sz w:val="24"/>
          <w:szCs w:val="24"/>
        </w:rPr>
        <w:t>марта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10: в </w:t>
      </w:r>
      <w:r>
        <w:rPr>
          <w:rFonts w:ascii="Times New Roman" w:hAnsi="Times New Roman" w:cs="Times New Roman"/>
          <w:sz w:val="24"/>
          <w:szCs w:val="24"/>
        </w:rPr>
        <w:t>10 часов 00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11: в 10 часов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12: в 10 часов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13: в 10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1A5501" w:rsidRPr="00A765B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14: в 10 часов </w:t>
      </w:r>
      <w:r>
        <w:rPr>
          <w:rFonts w:ascii="Times New Roman" w:hAnsi="Times New Roman" w:cs="Times New Roman"/>
          <w:sz w:val="24"/>
          <w:szCs w:val="24"/>
        </w:rPr>
        <w:t>20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9E2365">
        <w:trPr>
          <w:cantSplit/>
          <w:trHeight w:val="185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C84CD0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1A550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9E2365">
        <w:trPr>
          <w:cantSplit/>
          <w:trHeight w:val="1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1A5501"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="001A5501"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Русско-Журавское</w:t>
            </w:r>
            <w:proofErr w:type="gramEnd"/>
            <w:r w:rsidR="001A5501"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1A5501">
        <w:trPr>
          <w:cantSplit/>
          <w:trHeight w:val="112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36:06:1600011:33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33 472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, с/</w:t>
            </w:r>
            <w:proofErr w:type="gram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Русско-Журавское, северо-восточная  часть кадастрового квартала 36:06:1600011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C3555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C35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293,00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293,00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A5501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1A5501">
        <w:trPr>
          <w:cantSplit/>
          <w:trHeight w:val="115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36:06:1600024:80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44 269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36:06:1600024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C3555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C355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402,00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A5501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1-е с/п)</w:t>
            </w:r>
          </w:p>
        </w:tc>
      </w:tr>
      <w:tr w:rsidR="00C6650E" w:rsidTr="001A5501">
        <w:trPr>
          <w:cantSplit/>
          <w:trHeight w:val="116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36:06:1600028:105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43 395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1-е сельское поселение, восточная часть кадастрового квартала 36:06:1600028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C3555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C355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330,00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330,00</w:t>
            </w:r>
          </w:p>
        </w:tc>
      </w:tr>
      <w:tr w:rsidR="00C6650E" w:rsidTr="00C84CD0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A5501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1A5501"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1A5501">
        <w:trPr>
          <w:cantSplit/>
          <w:trHeight w:val="102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36:06:1600026:111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17 632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с/</w:t>
            </w:r>
            <w:proofErr w:type="gram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,  южная часть кадастрового квартала 36:06:1600026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B44C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AC355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134,00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134,00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A5501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1A5501"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="001A5501"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Русско-Журавское</w:t>
            </w:r>
            <w:proofErr w:type="gramEnd"/>
            <w:r w:rsidR="001A5501"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1A5501">
        <w:trPr>
          <w:cantSplit/>
          <w:trHeight w:val="10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36:06:1600011:30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36 941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Р.Журавское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северо-восточная  часть кадастрового квартала 36:06:1600011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B44C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AC355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323,00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323,00</w:t>
            </w:r>
          </w:p>
        </w:tc>
      </w:tr>
      <w:tr w:rsidR="001A5501" w:rsidTr="001A5501">
        <w:trPr>
          <w:cantSplit/>
          <w:trHeight w:val="2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6 </w:t>
            </w: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1A5501">
        <w:trPr>
          <w:cantSplit/>
          <w:trHeight w:val="126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36:06:1500013:528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2 790 (в том числе 233 ограничено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,  северо-западная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B44C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B44C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21,00</w:t>
            </w:r>
          </w:p>
        </w:tc>
      </w:tr>
      <w:tr w:rsidR="001A5501" w:rsidTr="001A5501">
        <w:trPr>
          <w:cantSplit/>
          <w:trHeight w:val="2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1A5501">
        <w:trPr>
          <w:cantSplit/>
          <w:trHeight w:val="111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36:06:1500013:533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867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западная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B44C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B44C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82,00</w:t>
            </w:r>
          </w:p>
        </w:tc>
      </w:tr>
      <w:tr w:rsidR="001A5501" w:rsidTr="001A5501">
        <w:trPr>
          <w:cantSplit/>
          <w:trHeight w:val="20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1A5501">
        <w:trPr>
          <w:cantSplit/>
          <w:trHeight w:val="10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36:06:1500013:537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085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западная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B44C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B44C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76,00</w:t>
            </w:r>
          </w:p>
        </w:tc>
      </w:tr>
      <w:tr w:rsidR="001A5501" w:rsidTr="001A5501">
        <w:trPr>
          <w:cantSplit/>
          <w:trHeight w:val="21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1A5501">
        <w:trPr>
          <w:cantSplit/>
          <w:trHeight w:val="10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36:06:1500013:542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северо-западная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B44C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B44C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75,00</w:t>
            </w:r>
          </w:p>
        </w:tc>
      </w:tr>
      <w:tr w:rsidR="001A5501" w:rsidTr="001A5501">
        <w:trPr>
          <w:cantSplit/>
          <w:trHeight w:val="17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1A5501">
        <w:trPr>
          <w:cantSplit/>
          <w:trHeight w:val="10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36:06:1500013:543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1B44C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западная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B44C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B44C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26,00</w:t>
            </w:r>
          </w:p>
        </w:tc>
      </w:tr>
      <w:tr w:rsidR="001A5501" w:rsidTr="001A5501">
        <w:trPr>
          <w:cantSplit/>
          <w:trHeight w:val="15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11 </w:t>
            </w: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1A5501">
        <w:trPr>
          <w:cantSplit/>
          <w:trHeight w:val="10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36:06:1500013:554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северо-западная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BE4E3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B44C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20,00</w:t>
            </w:r>
          </w:p>
        </w:tc>
      </w:tr>
      <w:tr w:rsidR="001A5501" w:rsidTr="001A5501">
        <w:trPr>
          <w:cantSplit/>
          <w:trHeight w:val="12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12 </w:t>
            </w: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1A5501">
        <w:trPr>
          <w:cantSplit/>
          <w:trHeight w:val="10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36:06:1500013:555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691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северо-западная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BE4E3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B44C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15,00</w:t>
            </w:r>
          </w:p>
        </w:tc>
      </w:tr>
      <w:tr w:rsidR="001A5501" w:rsidTr="001A5501">
        <w:trPr>
          <w:cantSplit/>
          <w:trHeight w:val="2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13 </w:t>
            </w: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1A5501">
        <w:trPr>
          <w:cantSplit/>
          <w:trHeight w:val="10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36:06:1500013:556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северо-западная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BE4E3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B44C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142,00</w:t>
            </w:r>
          </w:p>
        </w:tc>
      </w:tr>
      <w:tr w:rsidR="001A5501" w:rsidTr="001A5501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14 </w:t>
            </w: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1A5501">
        <w:trPr>
          <w:cantSplit/>
          <w:trHeight w:val="10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36:06:1500013:557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80 122 (в том числе 1187 ограничено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Верхнемамонское</w:t>
            </w:r>
            <w:proofErr w:type="spellEnd"/>
            <w:r w:rsidRPr="001A55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центральная часть кадастрового квартала 36:06:1500013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BE4E3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E4E3C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660,00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A550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660,00</w:t>
            </w:r>
          </w:p>
        </w:tc>
      </w:tr>
    </w:tbl>
    <w:p w:rsidR="0066364C" w:rsidRDefault="001A5501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A5501">
        <w:rPr>
          <w:rFonts w:ascii="Times New Roman" w:hAnsi="Times New Roman"/>
          <w:sz w:val="24"/>
          <w:szCs w:val="24"/>
        </w:rPr>
        <w:t>*Информация об ограничении в использовании земельного участка представлена в кадастровой выписке о земельном участке.</w:t>
      </w:r>
    </w:p>
    <w:p w:rsidR="001A5501" w:rsidRDefault="001A5501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A5501">
        <w:rPr>
          <w:rFonts w:ascii="Times New Roman" w:hAnsi="Times New Roman"/>
          <w:sz w:val="24"/>
          <w:szCs w:val="24"/>
        </w:rPr>
        <w:t>У зе</w:t>
      </w:r>
      <w:r w:rsidR="00C75840" w:rsidRPr="001A5501">
        <w:rPr>
          <w:rFonts w:ascii="Times New Roman" w:hAnsi="Times New Roman"/>
          <w:sz w:val="24"/>
          <w:szCs w:val="24"/>
        </w:rPr>
        <w:t>мельных участков по лотам №№ 1-</w:t>
      </w:r>
      <w:r w:rsidR="001A5501" w:rsidRPr="001A5501">
        <w:rPr>
          <w:rFonts w:ascii="Times New Roman" w:hAnsi="Times New Roman"/>
          <w:sz w:val="24"/>
          <w:szCs w:val="24"/>
        </w:rPr>
        <w:t>14</w:t>
      </w:r>
      <w:r w:rsidRPr="001A5501">
        <w:rPr>
          <w:rFonts w:ascii="Times New Roman" w:hAnsi="Times New Roman"/>
          <w:sz w:val="24"/>
          <w:szCs w:val="24"/>
        </w:rPr>
        <w:t>: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A5501"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C84CD0">
          <w:footerReference w:type="default" r:id="rId10"/>
          <w:pgSz w:w="16838" w:h="11906" w:orient="landscape"/>
          <w:pgMar w:top="284" w:right="567" w:bottom="284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523A0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523A0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C75840">
        <w:rPr>
          <w:rFonts w:ascii="Times New Roman" w:hAnsi="Times New Roman"/>
          <w:sz w:val="24"/>
          <w:szCs w:val="24"/>
        </w:rPr>
        <w:t xml:space="preserve"> – 2019</w:t>
      </w:r>
      <w:r w:rsidR="00830C15" w:rsidRPr="00523A0E">
        <w:rPr>
          <w:rFonts w:ascii="Times New Roman" w:hAnsi="Times New Roman"/>
          <w:sz w:val="24"/>
          <w:szCs w:val="24"/>
        </w:rPr>
        <w:t xml:space="preserve"> – </w:t>
      </w:r>
      <w:r w:rsidR="00C75840">
        <w:rPr>
          <w:rFonts w:ascii="Times New Roman" w:hAnsi="Times New Roman"/>
          <w:sz w:val="24"/>
          <w:szCs w:val="24"/>
        </w:rPr>
        <w:t>7</w:t>
      </w:r>
      <w:r w:rsidRPr="00523A0E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C75840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C75840">
        <w:rPr>
          <w:rFonts w:ascii="Times New Roman" w:hAnsi="Times New Roman" w:cs="Times New Roman"/>
          <w:b/>
          <w:sz w:val="24"/>
          <w:szCs w:val="24"/>
        </w:rPr>
        <w:t>естровый номер торгов 2019</w:t>
      </w:r>
      <w:r w:rsidR="00701610">
        <w:rPr>
          <w:rFonts w:ascii="Times New Roman" w:hAnsi="Times New Roman" w:cs="Times New Roman"/>
          <w:b/>
          <w:sz w:val="24"/>
          <w:szCs w:val="24"/>
        </w:rPr>
        <w:t xml:space="preserve">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C75840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«____»______________2019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695326">
        <w:rPr>
          <w:rFonts w:ascii="Times New Roman" w:hAnsi="Times New Roman" w:cs="Times New Roman"/>
          <w:sz w:val="24"/>
          <w:szCs w:val="24"/>
        </w:rPr>
        <w:t xml:space="preserve">        «___</w:t>
      </w:r>
      <w:r>
        <w:rPr>
          <w:rFonts w:ascii="Times New Roman" w:hAnsi="Times New Roman" w:cs="Times New Roman"/>
          <w:sz w:val="24"/>
          <w:szCs w:val="24"/>
        </w:rPr>
        <w:t>_»______________2019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</w:t>
      </w:r>
      <w:r w:rsidR="007C6303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D38EE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5D38EE">
        <w:rPr>
          <w:rFonts w:ascii="Times New Roman" w:hAnsi="Times New Roman"/>
          <w:spacing w:val="-3"/>
          <w:sz w:val="24"/>
          <w:szCs w:val="24"/>
        </w:rPr>
        <w:t> </w:t>
      </w:r>
      <w:r w:rsidRPr="005D38EE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</w:t>
      </w:r>
      <w:r w:rsidR="005D38EE"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быть подтверждено документом, выданным уполномоченным на то государственным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94" w:rsidRDefault="004D1594" w:rsidP="00225547">
      <w:r>
        <w:separator/>
      </w:r>
    </w:p>
  </w:endnote>
  <w:endnote w:type="continuationSeparator" w:id="0">
    <w:p w:rsidR="004D1594" w:rsidRDefault="004D1594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01" w:rsidRPr="00D96704" w:rsidRDefault="001A5501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01" w:rsidRPr="008F5898" w:rsidRDefault="001A5501" w:rsidP="008F58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01" w:rsidRPr="002F11AF" w:rsidRDefault="001A5501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8C7F4F">
      <w:rPr>
        <w:rFonts w:ascii="Times New Roman" w:hAnsi="Times New Roman" w:cs="Times New Roman"/>
        <w:noProof/>
        <w:sz w:val="24"/>
        <w:szCs w:val="24"/>
      </w:rPr>
      <w:t>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1A5501" w:rsidRDefault="001A55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94" w:rsidRDefault="004D1594" w:rsidP="00225547">
      <w:r>
        <w:separator/>
      </w:r>
    </w:p>
  </w:footnote>
  <w:footnote w:type="continuationSeparator" w:id="0">
    <w:p w:rsidR="004D1594" w:rsidRDefault="004D1594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74AFE"/>
    <w:rsid w:val="00182334"/>
    <w:rsid w:val="001842B2"/>
    <w:rsid w:val="00190545"/>
    <w:rsid w:val="00192058"/>
    <w:rsid w:val="00195D24"/>
    <w:rsid w:val="001A5501"/>
    <w:rsid w:val="001B39D6"/>
    <w:rsid w:val="001B3CBF"/>
    <w:rsid w:val="001B44CE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3603D"/>
    <w:rsid w:val="002472F2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553E"/>
    <w:rsid w:val="002A7641"/>
    <w:rsid w:val="002B0247"/>
    <w:rsid w:val="002C48FA"/>
    <w:rsid w:val="002C72FB"/>
    <w:rsid w:val="002D0AF6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42C7F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3E06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1594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2404"/>
    <w:rsid w:val="005168F2"/>
    <w:rsid w:val="00521FAE"/>
    <w:rsid w:val="00523A0E"/>
    <w:rsid w:val="00524772"/>
    <w:rsid w:val="005261F7"/>
    <w:rsid w:val="00530F18"/>
    <w:rsid w:val="00535202"/>
    <w:rsid w:val="0053526D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D38EE"/>
    <w:rsid w:val="005E4157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8443F"/>
    <w:rsid w:val="00792F5D"/>
    <w:rsid w:val="00794D78"/>
    <w:rsid w:val="007A034C"/>
    <w:rsid w:val="007A4CE0"/>
    <w:rsid w:val="007A656F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32B7"/>
    <w:rsid w:val="008C7B40"/>
    <w:rsid w:val="008C7F4F"/>
    <w:rsid w:val="008E327B"/>
    <w:rsid w:val="008F1B3D"/>
    <w:rsid w:val="008F23D1"/>
    <w:rsid w:val="008F2D36"/>
    <w:rsid w:val="008F5898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365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355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4E3C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75840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337E"/>
    <w:rsid w:val="00CE3DBD"/>
    <w:rsid w:val="00CE43C0"/>
    <w:rsid w:val="00CE5F28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5309"/>
    <w:rsid w:val="00E66301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99B5D-C1FD-49CE-BCDF-A44AA8E7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6095</Words>
  <Characters>34746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55</cp:revision>
  <cp:lastPrinted>2019-02-21T12:14:00Z</cp:lastPrinted>
  <dcterms:created xsi:type="dcterms:W3CDTF">2015-11-18T12:10:00Z</dcterms:created>
  <dcterms:modified xsi:type="dcterms:W3CDTF">2019-02-21T13:12:00Z</dcterms:modified>
</cp:coreProperties>
</file>