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B22E6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осуществления крестьянским (фермерским) хозяйством его деятельности,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F7141C">
        <w:rPr>
          <w:rFonts w:ascii="Times New Roman" w:hAnsi="Times New Roman" w:cs="Times New Roman"/>
          <w:b/>
          <w:sz w:val="24"/>
          <w:szCs w:val="24"/>
        </w:rPr>
        <w:t>ях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F22">
        <w:rPr>
          <w:rFonts w:ascii="Times New Roman" w:hAnsi="Times New Roman" w:cs="Times New Roman"/>
          <w:b/>
          <w:sz w:val="24"/>
          <w:szCs w:val="24"/>
        </w:rPr>
        <w:t>Хохольского</w:t>
      </w:r>
      <w:r w:rsidR="00F714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0F22">
        <w:rPr>
          <w:rFonts w:ascii="Times New Roman" w:hAnsi="Times New Roman" w:cs="Times New Roman"/>
          <w:b/>
          <w:sz w:val="24"/>
          <w:szCs w:val="24"/>
        </w:rPr>
        <w:t>Петропавловского, Грибановского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087FDF">
        <w:rPr>
          <w:rFonts w:ascii="Times New Roman" w:hAnsi="Times New Roman" w:cs="Times New Roman"/>
          <w:b/>
          <w:sz w:val="24"/>
          <w:szCs w:val="24"/>
        </w:rPr>
        <w:t>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087FDF">
        <w:rPr>
          <w:rFonts w:ascii="Times New Roman" w:hAnsi="Times New Roman" w:cs="Times New Roman"/>
          <w:b/>
          <w:sz w:val="24"/>
          <w:szCs w:val="24"/>
        </w:rPr>
        <w:t>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7A542C" w:rsidRDefault="007A542C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42C" w:rsidRPr="00524F48" w:rsidRDefault="007A542C" w:rsidP="007A54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</w:t>
      </w:r>
      <w:r w:rsidRPr="00407DA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Основание проведения аукциона: приказы уполномоченного органа - департамента имущественных и земельных отношений Воронежской области от 29.12.2017 № 2933 «</w:t>
      </w:r>
      <w:r>
        <w:rPr>
          <w:rFonts w:ascii="Times New Roman" w:hAnsi="Times New Roman"/>
          <w:bCs/>
          <w:sz w:val="24"/>
          <w:szCs w:val="24"/>
        </w:rPr>
        <w:t>О проведении аукциона на право закл</w:t>
      </w:r>
      <w:r w:rsidR="004C64D0">
        <w:rPr>
          <w:rFonts w:ascii="Times New Roman" w:hAnsi="Times New Roman"/>
          <w:bCs/>
          <w:sz w:val="24"/>
          <w:szCs w:val="24"/>
        </w:rPr>
        <w:t>ючения договора аренды земельного участка</w:t>
      </w:r>
      <w:r>
        <w:rPr>
          <w:rFonts w:ascii="Times New Roman" w:hAnsi="Times New Roman"/>
          <w:bCs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деятельности»</w:t>
      </w:r>
      <w:r>
        <w:rPr>
          <w:rFonts w:ascii="Times New Roman" w:hAnsi="Times New Roman"/>
          <w:sz w:val="24"/>
          <w:szCs w:val="24"/>
        </w:rPr>
        <w:t>, от 29.12.2017 № 2934 «</w:t>
      </w:r>
      <w:r>
        <w:rPr>
          <w:rFonts w:ascii="Times New Roman" w:hAnsi="Times New Roman"/>
          <w:bCs/>
          <w:sz w:val="24"/>
          <w:szCs w:val="24"/>
        </w:rPr>
        <w:t>О проведении аукциона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деятельности».</w:t>
      </w:r>
      <w:proofErr w:type="gramEnd"/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B65104" w:rsidRPr="00B65104">
        <w:rPr>
          <w:rFonts w:ascii="Times New Roman" w:hAnsi="Times New Roman" w:cs="Times New Roman"/>
          <w:sz w:val="24"/>
          <w:szCs w:val="24"/>
        </w:rPr>
        <w:t>15</w:t>
      </w:r>
      <w:r w:rsidR="00CB5811" w:rsidRPr="00B65104">
        <w:rPr>
          <w:rFonts w:ascii="Times New Roman" w:hAnsi="Times New Roman" w:cs="Times New Roman"/>
          <w:sz w:val="24"/>
          <w:szCs w:val="24"/>
        </w:rPr>
        <w:t xml:space="preserve"> </w:t>
      </w:r>
      <w:r w:rsidR="001F0F22" w:rsidRPr="00B65104">
        <w:rPr>
          <w:rFonts w:ascii="Times New Roman" w:hAnsi="Times New Roman" w:cs="Times New Roman"/>
          <w:sz w:val="24"/>
          <w:szCs w:val="24"/>
        </w:rPr>
        <w:t>января 2018</w:t>
      </w:r>
      <w:r w:rsidRPr="00B65104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CE3DBD" w:rsidRPr="00CE3DBD">
        <w:rPr>
          <w:rFonts w:ascii="Times New Roman" w:hAnsi="Times New Roman" w:cs="Times New Roman"/>
          <w:sz w:val="24"/>
          <w:szCs w:val="24"/>
        </w:rPr>
        <w:t>26 февраля</w:t>
      </w:r>
      <w:r w:rsidR="00CB5811" w:rsidRPr="00CE3DBD">
        <w:rPr>
          <w:rFonts w:ascii="Times New Roman" w:hAnsi="Times New Roman" w:cs="Times New Roman"/>
          <w:sz w:val="24"/>
          <w:szCs w:val="24"/>
        </w:rPr>
        <w:t xml:space="preserve"> 2018</w:t>
      </w:r>
      <w:r w:rsidRPr="00CE3DBD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CE3DBD" w:rsidRPr="00CE3DBD">
        <w:rPr>
          <w:rFonts w:ascii="Times New Roman" w:hAnsi="Times New Roman" w:cs="Times New Roman"/>
          <w:sz w:val="24"/>
          <w:szCs w:val="24"/>
        </w:rPr>
        <w:t>28</w:t>
      </w:r>
      <w:r w:rsidR="004A4804" w:rsidRPr="00CE3DBD">
        <w:rPr>
          <w:rFonts w:ascii="Times New Roman" w:hAnsi="Times New Roman" w:cs="Times New Roman"/>
          <w:sz w:val="24"/>
          <w:szCs w:val="24"/>
        </w:rPr>
        <w:t xml:space="preserve"> </w:t>
      </w:r>
      <w:r w:rsidR="00CE3DBD" w:rsidRPr="00CE3DBD">
        <w:rPr>
          <w:rFonts w:ascii="Times New Roman" w:hAnsi="Times New Roman" w:cs="Times New Roman"/>
          <w:sz w:val="24"/>
          <w:szCs w:val="24"/>
        </w:rPr>
        <w:t>февраля</w:t>
      </w:r>
      <w:r w:rsidR="00CB5811" w:rsidRPr="00CE3DBD">
        <w:rPr>
          <w:rFonts w:ascii="Times New Roman" w:hAnsi="Times New Roman" w:cs="Times New Roman"/>
          <w:sz w:val="24"/>
          <w:szCs w:val="24"/>
        </w:rPr>
        <w:t xml:space="preserve"> 2018</w:t>
      </w:r>
      <w:r w:rsidRPr="00CE3DBD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2D4DDB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CE3DBD" w:rsidRPr="00CE3DBD">
        <w:rPr>
          <w:rFonts w:ascii="Times New Roman" w:hAnsi="Times New Roman" w:cs="Times New Roman"/>
          <w:sz w:val="24"/>
          <w:szCs w:val="24"/>
        </w:rPr>
        <w:t>02</w:t>
      </w:r>
      <w:r w:rsidRPr="00CE3DBD">
        <w:rPr>
          <w:rFonts w:ascii="Times New Roman" w:hAnsi="Times New Roman" w:cs="Times New Roman"/>
          <w:sz w:val="24"/>
          <w:szCs w:val="24"/>
        </w:rPr>
        <w:t xml:space="preserve"> </w:t>
      </w:r>
      <w:r w:rsidR="00CE3DBD" w:rsidRPr="00CE3DBD">
        <w:rPr>
          <w:rFonts w:ascii="Times New Roman" w:hAnsi="Times New Roman" w:cs="Times New Roman"/>
          <w:sz w:val="24"/>
          <w:szCs w:val="24"/>
        </w:rPr>
        <w:t>марта</w:t>
      </w:r>
      <w:r w:rsidR="00CB5811" w:rsidRPr="00CE3DBD">
        <w:rPr>
          <w:rFonts w:ascii="Times New Roman" w:hAnsi="Times New Roman" w:cs="Times New Roman"/>
          <w:sz w:val="24"/>
          <w:szCs w:val="24"/>
        </w:rPr>
        <w:t xml:space="preserve"> 2018</w:t>
      </w:r>
      <w:r w:rsidRPr="00CE3DBD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CE3DBD">
        <w:rPr>
          <w:rFonts w:ascii="Times New Roman" w:hAnsi="Times New Roman" w:cs="Times New Roman"/>
          <w:sz w:val="24"/>
          <w:szCs w:val="24"/>
        </w:rPr>
        <w:t>:</w:t>
      </w:r>
    </w:p>
    <w:p w:rsidR="0060058B" w:rsidRPr="00CE3DBD" w:rsidRDefault="00B21398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BD">
        <w:rPr>
          <w:rFonts w:ascii="Times New Roman" w:hAnsi="Times New Roman" w:cs="Times New Roman"/>
          <w:sz w:val="24"/>
          <w:szCs w:val="24"/>
        </w:rPr>
        <w:t>по лоту № 1 – в 09 часов 15 минут;</w:t>
      </w:r>
    </w:p>
    <w:p w:rsidR="00B21398" w:rsidRPr="00CE3DBD" w:rsidRDefault="00B21398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BD">
        <w:rPr>
          <w:rFonts w:ascii="Times New Roman" w:hAnsi="Times New Roman" w:cs="Times New Roman"/>
          <w:sz w:val="24"/>
          <w:szCs w:val="24"/>
        </w:rPr>
        <w:t>по лоту № 2 – в 09 часов 25 минут;</w:t>
      </w:r>
    </w:p>
    <w:p w:rsidR="00B21398" w:rsidRPr="009B4D99" w:rsidRDefault="00B21398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BD">
        <w:rPr>
          <w:rFonts w:ascii="Times New Roman" w:hAnsi="Times New Roman" w:cs="Times New Roman"/>
          <w:sz w:val="24"/>
          <w:szCs w:val="24"/>
        </w:rPr>
        <w:t>по лоту № 3 – в 09 часов 35 минут.</w:t>
      </w:r>
    </w:p>
    <w:p w:rsidR="00CB0F9F" w:rsidRDefault="00CB0F9F" w:rsidP="00146783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lastRenderedPageBreak/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>Предмет аукциона – земельные участки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B63FD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Хохольский район  </w:t>
            </w:r>
          </w:p>
        </w:tc>
      </w:tr>
      <w:tr w:rsidR="00B63FD6" w:rsidRPr="00B63FD6" w:rsidTr="00B63FD6">
        <w:trPr>
          <w:cantSplit/>
          <w:trHeight w:val="1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Гремяченское</w:t>
            </w:r>
            <w:proofErr w:type="spellEnd"/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B63FD6">
        <w:trPr>
          <w:cantSplit/>
          <w:trHeight w:val="93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36:31:0000000:1369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1 884 359 (в том числе 14 563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Хохольский район, в границах бывшего колхоза «Россия»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B65104" w:rsidP="00B6510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сельскохозяйственного производства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163 939,23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32 787,85</w:t>
            </w:r>
          </w:p>
        </w:tc>
      </w:tr>
      <w:tr w:rsidR="00B63FD6" w:rsidRPr="00B63FD6" w:rsidTr="00B63FD6">
        <w:trPr>
          <w:cantSplit/>
          <w:trHeight w:val="34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Петропавловский район</w:t>
            </w:r>
          </w:p>
        </w:tc>
      </w:tr>
      <w:tr w:rsidR="00B63FD6" w:rsidRPr="00B63FD6" w:rsidTr="00B63FD6">
        <w:trPr>
          <w:cantSplit/>
          <w:trHeight w:val="34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Лот № 2 (</w:t>
            </w:r>
            <w:proofErr w:type="gramStart"/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Петропавловское</w:t>
            </w:r>
            <w:proofErr w:type="gramEnd"/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B63FD6">
        <w:trPr>
          <w:cantSplit/>
          <w:trHeight w:val="101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36:22:3200010:50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581 794 (в том числе 4 898 ограничено в использовании)*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Петропавловский район, северная часть кадастрового квартала </w:t>
            </w: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36:22:3200010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46 155,00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9 231,00</w:t>
            </w:r>
          </w:p>
        </w:tc>
      </w:tr>
      <w:tr w:rsidR="00B63FD6" w:rsidRPr="00B63FD6" w:rsidTr="00B63FD6">
        <w:trPr>
          <w:cantSplit/>
          <w:trHeight w:val="3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Грибановский район</w:t>
            </w:r>
          </w:p>
        </w:tc>
      </w:tr>
      <w:tr w:rsidR="00B63FD6" w:rsidRPr="00B63FD6" w:rsidTr="00B63FD6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Лот № 3 (</w:t>
            </w:r>
            <w:proofErr w:type="spellStart"/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Краснореченское</w:t>
            </w:r>
            <w:proofErr w:type="spellEnd"/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B63FD6">
        <w:trPr>
          <w:cantSplit/>
          <w:trHeight w:val="177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36:09:4400004:63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164 800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Краснореченское</w:t>
            </w:r>
            <w:proofErr w:type="spellEnd"/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южная часть кадастрового квартала 36:09:4400004, расположенного в границах участка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15 385,00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3 077,00</w:t>
            </w:r>
          </w:p>
        </w:tc>
      </w:tr>
    </w:tbl>
    <w:p w:rsidR="00B63FD6" w:rsidRPr="00B63FD6" w:rsidRDefault="00B63FD6" w:rsidP="00B63F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3FD6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15753E" w:rsidRPr="002F11AF" w:rsidRDefault="0015753E" w:rsidP="002F11AF">
      <w:pPr>
        <w:rPr>
          <w:rFonts w:ascii="Times New Roman" w:hAnsi="Times New Roman" w:cs="Times New Roman"/>
          <w:sz w:val="24"/>
          <w:szCs w:val="24"/>
        </w:rPr>
        <w:sectPr w:rsidR="0015753E" w:rsidRPr="002F11AF" w:rsidSect="006050FC">
          <w:pgSz w:w="16838" w:h="11906" w:orient="landscape"/>
          <w:pgMar w:top="284" w:right="567" w:bottom="680" w:left="1985" w:header="709" w:footer="709" w:gutter="0"/>
          <w:cols w:space="708"/>
          <w:docGrid w:linePitch="360"/>
        </w:sectPr>
      </w:pP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1-3: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5A15B1" w:rsidRDefault="005A15B1" w:rsidP="005A15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5A15B1" w:rsidRDefault="005A15B1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1E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1181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A1181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A1181E">
        <w:rPr>
          <w:rFonts w:ascii="Times New Roman" w:hAnsi="Times New Roman"/>
          <w:sz w:val="24"/>
          <w:szCs w:val="24"/>
        </w:rPr>
        <w:t>ого</w:t>
      </w:r>
      <w:r w:rsidRPr="00A1181E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A1181E">
        <w:rPr>
          <w:rFonts w:ascii="Times New Roman" w:hAnsi="Times New Roman"/>
          <w:sz w:val="24"/>
          <w:szCs w:val="24"/>
        </w:rPr>
        <w:t>а</w:t>
      </w:r>
      <w:r w:rsidR="00F63D0F" w:rsidRPr="00A1181E">
        <w:rPr>
          <w:rFonts w:ascii="Times New Roman" w:hAnsi="Times New Roman"/>
          <w:sz w:val="24"/>
          <w:szCs w:val="24"/>
        </w:rPr>
        <w:t xml:space="preserve">, </w:t>
      </w:r>
      <w:r w:rsidR="00613FCC" w:rsidRPr="007928A3">
        <w:rPr>
          <w:rFonts w:ascii="Times New Roman" w:hAnsi="Times New Roman"/>
          <w:sz w:val="24"/>
          <w:szCs w:val="24"/>
        </w:rPr>
        <w:t xml:space="preserve">лот № _______, </w:t>
      </w:r>
      <w:r w:rsidRPr="00A1181E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>
        <w:rPr>
          <w:rFonts w:ascii="Times New Roman" w:hAnsi="Times New Roman"/>
          <w:sz w:val="24"/>
          <w:szCs w:val="24"/>
        </w:rPr>
        <w:t>8</w:t>
      </w:r>
      <w:r w:rsidRPr="00A1181E">
        <w:rPr>
          <w:rFonts w:ascii="Times New Roman" w:hAnsi="Times New Roman"/>
          <w:sz w:val="24"/>
          <w:szCs w:val="24"/>
        </w:rPr>
        <w:t xml:space="preserve"> –</w:t>
      </w:r>
      <w:r w:rsidR="00800504" w:rsidRPr="00A1181E">
        <w:rPr>
          <w:rFonts w:ascii="Times New Roman" w:hAnsi="Times New Roman"/>
          <w:sz w:val="24"/>
          <w:szCs w:val="24"/>
        </w:rPr>
        <w:t xml:space="preserve"> </w:t>
      </w:r>
      <w:r w:rsidR="00B65104">
        <w:rPr>
          <w:rFonts w:ascii="Times New Roman" w:hAnsi="Times New Roman"/>
          <w:sz w:val="24"/>
          <w:szCs w:val="24"/>
        </w:rPr>
        <w:t>5</w:t>
      </w:r>
      <w:r w:rsidRPr="00A1181E">
        <w:rPr>
          <w:rFonts w:ascii="Times New Roman" w:hAnsi="Times New Roman"/>
          <w:sz w:val="24"/>
          <w:szCs w:val="24"/>
        </w:rPr>
        <w:t xml:space="preserve"> 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B65104">
        <w:rPr>
          <w:rFonts w:ascii="Times New Roman" w:hAnsi="Times New Roman" w:cs="Times New Roman"/>
          <w:b/>
          <w:sz w:val="24"/>
          <w:szCs w:val="24"/>
        </w:rPr>
        <w:t>естровый номер торгов 2018 - 5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15079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40101810500000010004 в Отделении Воронеж г. Воронеж, БИК 042007001, ИНН 3666057069, КПП 366601001, ОКТМО 20701000, КБК 835 1 11 05022 02 0000 120.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B32ACC" w:rsidRDefault="00B32ACC" w:rsidP="00B32ACC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32ACC" w:rsidRDefault="00B32ACC" w:rsidP="00B32A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32ACC" w:rsidRDefault="00B32ACC" w:rsidP="00B32ACC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32ACC" w:rsidRDefault="00B32ACC" w:rsidP="00B32ACC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32ACC" w:rsidRDefault="00B32ACC" w:rsidP="00B32AC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3.4.18.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3.4.19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B32ACC" w:rsidRDefault="00B32ACC" w:rsidP="00B32ACC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1 % от суммы задолженности за каждый день просрочки,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 и прекращения Договора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(473) 213-73-89,                     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32ACC" w:rsidTr="00B32ACC">
        <w:trPr>
          <w:jc w:val="center"/>
        </w:trPr>
        <w:tc>
          <w:tcPr>
            <w:tcW w:w="5793" w:type="dxa"/>
          </w:tcPr>
          <w:p w:rsidR="00B32ACC" w:rsidRDefault="00B32ACC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B32ACC" w:rsidRDefault="00B32ACC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32ACC" w:rsidRDefault="00B32ACC" w:rsidP="00B32ACC">
      <w:pPr>
        <w:ind w:left="142" w:right="-51" w:hanging="6"/>
        <w:jc w:val="center"/>
      </w:pPr>
    </w:p>
    <w:p w:rsidR="00B32ACC" w:rsidRDefault="00B32ACC" w:rsidP="00B32A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32ACC" w:rsidTr="00B32ACC">
        <w:trPr>
          <w:trHeight w:val="397"/>
        </w:trPr>
        <w:tc>
          <w:tcPr>
            <w:tcW w:w="4361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B32ACC" w:rsidTr="00B32ACC">
        <w:tc>
          <w:tcPr>
            <w:tcW w:w="4361" w:type="dxa"/>
          </w:tcPr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32ACC" w:rsidRDefault="00B32ACC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Воронеж, пл. Ленина, д. 12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B32ACC" w:rsidTr="00B32ACC">
        <w:trPr>
          <w:trHeight w:val="397"/>
        </w:trPr>
        <w:tc>
          <w:tcPr>
            <w:tcW w:w="4361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32ACC" w:rsidTr="00B32ACC">
        <w:tc>
          <w:tcPr>
            <w:tcW w:w="4361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D06B05" w:rsidRDefault="00D06B05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DA" w:rsidRDefault="00D843DA" w:rsidP="00225547">
      <w:r>
        <w:separator/>
      </w:r>
    </w:p>
  </w:endnote>
  <w:endnote w:type="continuationSeparator" w:id="0">
    <w:p w:rsidR="00D843DA" w:rsidRDefault="00D843DA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3EE7" w:rsidRPr="00B35B8B" w:rsidRDefault="00733EE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542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E7" w:rsidRPr="002F11AF" w:rsidRDefault="00733EE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7A542C">
      <w:rPr>
        <w:rFonts w:ascii="Times New Roman" w:hAnsi="Times New Roman" w:cs="Times New Roman"/>
        <w:noProof/>
        <w:sz w:val="24"/>
        <w:szCs w:val="24"/>
      </w:rPr>
      <w:t>3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33EE7" w:rsidRDefault="00733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DA" w:rsidRDefault="00D843DA" w:rsidP="00225547">
      <w:r>
        <w:separator/>
      </w:r>
    </w:p>
  </w:footnote>
  <w:footnote w:type="continuationSeparator" w:id="0">
    <w:p w:rsidR="00D843DA" w:rsidRDefault="00D843DA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142D"/>
    <w:rsid w:val="0009464F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E3585"/>
    <w:rsid w:val="003F3AEB"/>
    <w:rsid w:val="003F602D"/>
    <w:rsid w:val="00407DAD"/>
    <w:rsid w:val="00421A14"/>
    <w:rsid w:val="00433459"/>
    <w:rsid w:val="0043598B"/>
    <w:rsid w:val="004419F9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61F7"/>
    <w:rsid w:val="00530F18"/>
    <w:rsid w:val="00535F2F"/>
    <w:rsid w:val="005364D7"/>
    <w:rsid w:val="00540F19"/>
    <w:rsid w:val="00546113"/>
    <w:rsid w:val="0055486E"/>
    <w:rsid w:val="00557EBF"/>
    <w:rsid w:val="0056198F"/>
    <w:rsid w:val="005918A2"/>
    <w:rsid w:val="00596658"/>
    <w:rsid w:val="005A15B1"/>
    <w:rsid w:val="005B21F9"/>
    <w:rsid w:val="005B2D34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5D9B"/>
    <w:rsid w:val="0070475C"/>
    <w:rsid w:val="00711C8A"/>
    <w:rsid w:val="0072373B"/>
    <w:rsid w:val="007237F8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542C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4365"/>
    <w:rsid w:val="00896D91"/>
    <w:rsid w:val="008A5C1E"/>
    <w:rsid w:val="008B3BC2"/>
    <w:rsid w:val="008B4C99"/>
    <w:rsid w:val="008B5214"/>
    <w:rsid w:val="008C7B40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C5862"/>
    <w:rsid w:val="00AC5DF1"/>
    <w:rsid w:val="00AD1F79"/>
    <w:rsid w:val="00AD4A2B"/>
    <w:rsid w:val="00AE041A"/>
    <w:rsid w:val="00AF1C3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2FD3"/>
    <w:rsid w:val="00DE4A59"/>
    <w:rsid w:val="00DF1B43"/>
    <w:rsid w:val="00DF6D11"/>
    <w:rsid w:val="00E14B73"/>
    <w:rsid w:val="00E25600"/>
    <w:rsid w:val="00E533FF"/>
    <w:rsid w:val="00E70F07"/>
    <w:rsid w:val="00E765DD"/>
    <w:rsid w:val="00EB32A9"/>
    <w:rsid w:val="00EC0726"/>
    <w:rsid w:val="00ED235E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C1A2A"/>
    <w:rsid w:val="00FC6C84"/>
    <w:rsid w:val="00FD1A4B"/>
    <w:rsid w:val="00FE1342"/>
    <w:rsid w:val="00FE3F5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397A2-4AF5-4B0E-9A7B-A3532D7B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14</Pages>
  <Words>5625</Words>
  <Characters>32064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АндрееваА</cp:lastModifiedBy>
  <cp:revision>239</cp:revision>
  <cp:lastPrinted>2017-12-05T09:43:00Z</cp:lastPrinted>
  <dcterms:created xsi:type="dcterms:W3CDTF">2015-11-18T12:10:00Z</dcterms:created>
  <dcterms:modified xsi:type="dcterms:W3CDTF">2018-01-12T07:06:00Z</dcterms:modified>
</cp:coreProperties>
</file>