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252F1" w:rsidRPr="005252F1" w:rsidTr="005252F1">
        <w:trPr>
          <w:jc w:val="right"/>
        </w:trPr>
        <w:tc>
          <w:tcPr>
            <w:tcW w:w="4536" w:type="dxa"/>
          </w:tcPr>
          <w:p w:rsidR="005252F1" w:rsidRDefault="005252F1" w:rsidP="005252F1">
            <w:pPr>
              <w:rPr>
                <w:rFonts w:ascii="Times New Roman" w:hAnsi="Times New Roman" w:cs="Times New Roman"/>
                <w:bCs/>
                <w:sz w:val="28"/>
                <w:szCs w:val="28"/>
              </w:rPr>
            </w:pPr>
            <w:r>
              <w:rPr>
                <w:rFonts w:ascii="Times New Roman" w:hAnsi="Times New Roman" w:cs="Times New Roman"/>
                <w:bCs/>
                <w:sz w:val="28"/>
                <w:szCs w:val="28"/>
              </w:rPr>
              <w:t>Утвержден</w:t>
            </w:r>
          </w:p>
          <w:p w:rsidR="005252F1" w:rsidRPr="005252F1" w:rsidRDefault="005252F1" w:rsidP="005252F1">
            <w:pPr>
              <w:rPr>
                <w:rFonts w:ascii="Times New Roman" w:hAnsi="Times New Roman" w:cs="Times New Roman"/>
                <w:bCs/>
                <w:sz w:val="28"/>
                <w:szCs w:val="28"/>
              </w:rPr>
            </w:pPr>
            <w:r w:rsidRPr="005252F1">
              <w:rPr>
                <w:rFonts w:ascii="Times New Roman" w:hAnsi="Times New Roman" w:cs="Times New Roman"/>
                <w:bCs/>
                <w:sz w:val="28"/>
                <w:szCs w:val="28"/>
              </w:rPr>
              <w:t xml:space="preserve">на заседании Общественного совета при департаменте имущественных и земельных отношений Воронежской области </w:t>
            </w:r>
          </w:p>
          <w:p w:rsidR="005252F1" w:rsidRPr="005252F1" w:rsidRDefault="005252F1" w:rsidP="005252F1">
            <w:pPr>
              <w:rPr>
                <w:rFonts w:ascii="Times New Roman" w:hAnsi="Times New Roman" w:cs="Times New Roman"/>
                <w:bCs/>
                <w:sz w:val="28"/>
                <w:szCs w:val="28"/>
              </w:rPr>
            </w:pPr>
            <w:r w:rsidRPr="005252F1">
              <w:rPr>
                <w:rFonts w:ascii="Times New Roman" w:hAnsi="Times New Roman" w:cs="Times New Roman"/>
                <w:bCs/>
                <w:sz w:val="28"/>
                <w:szCs w:val="28"/>
              </w:rPr>
              <w:t xml:space="preserve">(протокол от </w:t>
            </w:r>
            <w:r>
              <w:rPr>
                <w:rFonts w:ascii="Times New Roman" w:hAnsi="Times New Roman" w:cs="Times New Roman"/>
                <w:bCs/>
                <w:sz w:val="28"/>
                <w:szCs w:val="28"/>
              </w:rPr>
              <w:t>13</w:t>
            </w:r>
            <w:r w:rsidRPr="005252F1">
              <w:rPr>
                <w:rFonts w:ascii="Times New Roman" w:hAnsi="Times New Roman" w:cs="Times New Roman"/>
                <w:bCs/>
                <w:sz w:val="28"/>
                <w:szCs w:val="28"/>
              </w:rPr>
              <w:t>.</w:t>
            </w:r>
            <w:r>
              <w:rPr>
                <w:rFonts w:ascii="Times New Roman" w:hAnsi="Times New Roman" w:cs="Times New Roman"/>
                <w:bCs/>
                <w:sz w:val="28"/>
                <w:szCs w:val="28"/>
              </w:rPr>
              <w:t>12</w:t>
            </w:r>
            <w:r w:rsidRPr="005252F1">
              <w:rPr>
                <w:rFonts w:ascii="Times New Roman" w:hAnsi="Times New Roman" w:cs="Times New Roman"/>
                <w:bCs/>
                <w:sz w:val="28"/>
                <w:szCs w:val="28"/>
              </w:rPr>
              <w:t xml:space="preserve">.2022 № </w:t>
            </w:r>
            <w:r>
              <w:rPr>
                <w:rFonts w:ascii="Times New Roman" w:hAnsi="Times New Roman" w:cs="Times New Roman"/>
                <w:bCs/>
                <w:sz w:val="28"/>
                <w:szCs w:val="28"/>
              </w:rPr>
              <w:t>5</w:t>
            </w:r>
            <w:r w:rsidRPr="005252F1">
              <w:rPr>
                <w:rFonts w:ascii="Times New Roman" w:hAnsi="Times New Roman" w:cs="Times New Roman"/>
                <w:bCs/>
                <w:sz w:val="28"/>
                <w:szCs w:val="28"/>
              </w:rPr>
              <w:t>)</w:t>
            </w:r>
          </w:p>
        </w:tc>
      </w:tr>
    </w:tbl>
    <w:p w:rsidR="005252F1" w:rsidRDefault="005252F1" w:rsidP="000A271B">
      <w:pPr>
        <w:spacing w:after="0" w:line="240" w:lineRule="auto"/>
        <w:jc w:val="center"/>
        <w:rPr>
          <w:rFonts w:ascii="Times New Roman" w:hAnsi="Times New Roman" w:cs="Times New Roman"/>
          <w:b/>
          <w:bCs/>
          <w:sz w:val="28"/>
          <w:szCs w:val="28"/>
        </w:rPr>
      </w:pPr>
    </w:p>
    <w:p w:rsidR="005252F1" w:rsidRDefault="005252F1" w:rsidP="000A271B">
      <w:pPr>
        <w:spacing w:after="0" w:line="240" w:lineRule="auto"/>
        <w:jc w:val="center"/>
        <w:rPr>
          <w:rFonts w:ascii="Times New Roman" w:hAnsi="Times New Roman" w:cs="Times New Roman"/>
          <w:b/>
          <w:bCs/>
          <w:sz w:val="28"/>
          <w:szCs w:val="28"/>
        </w:rPr>
      </w:pPr>
    </w:p>
    <w:p w:rsidR="00D246BB" w:rsidRPr="000A271B" w:rsidRDefault="00D246BB" w:rsidP="000A271B">
      <w:pPr>
        <w:spacing w:after="0" w:line="240" w:lineRule="auto"/>
        <w:jc w:val="center"/>
        <w:rPr>
          <w:rFonts w:ascii="Times New Roman" w:hAnsi="Times New Roman" w:cs="Times New Roman"/>
          <w:sz w:val="28"/>
          <w:szCs w:val="28"/>
        </w:rPr>
      </w:pPr>
      <w:r w:rsidRPr="000A271B">
        <w:rPr>
          <w:rFonts w:ascii="Times New Roman" w:hAnsi="Times New Roman" w:cs="Times New Roman"/>
          <w:b/>
          <w:bCs/>
          <w:sz w:val="28"/>
          <w:szCs w:val="28"/>
        </w:rPr>
        <w:t>Доклад</w:t>
      </w:r>
    </w:p>
    <w:p w:rsidR="006657CF" w:rsidRDefault="000A271B" w:rsidP="000A27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D246BB" w:rsidRPr="000A271B">
        <w:rPr>
          <w:rFonts w:ascii="Times New Roman" w:hAnsi="Times New Roman" w:cs="Times New Roman"/>
          <w:b/>
          <w:bCs/>
          <w:sz w:val="28"/>
          <w:szCs w:val="28"/>
        </w:rPr>
        <w:t xml:space="preserve">б организации внутреннего обеспечения соответствия требованиям антимонопольного законодательства (антимонопольный </w:t>
      </w:r>
      <w:proofErr w:type="spellStart"/>
      <w:r w:rsidR="00D246BB" w:rsidRPr="000A271B">
        <w:rPr>
          <w:rFonts w:ascii="Times New Roman" w:hAnsi="Times New Roman" w:cs="Times New Roman"/>
          <w:b/>
          <w:bCs/>
          <w:sz w:val="28"/>
          <w:szCs w:val="28"/>
        </w:rPr>
        <w:t>комплаенс</w:t>
      </w:r>
      <w:proofErr w:type="spellEnd"/>
      <w:r w:rsidR="00D246BB" w:rsidRPr="000A271B">
        <w:rPr>
          <w:rFonts w:ascii="Times New Roman" w:hAnsi="Times New Roman" w:cs="Times New Roman"/>
          <w:b/>
          <w:bCs/>
          <w:sz w:val="28"/>
          <w:szCs w:val="28"/>
        </w:rPr>
        <w:t xml:space="preserve">) </w:t>
      </w:r>
    </w:p>
    <w:p w:rsidR="00D73300" w:rsidRDefault="00D246BB" w:rsidP="000A271B">
      <w:pPr>
        <w:spacing w:after="0" w:line="240" w:lineRule="auto"/>
        <w:jc w:val="center"/>
        <w:rPr>
          <w:rFonts w:ascii="Times New Roman" w:hAnsi="Times New Roman" w:cs="Times New Roman"/>
          <w:b/>
          <w:bCs/>
          <w:sz w:val="28"/>
          <w:szCs w:val="28"/>
        </w:rPr>
      </w:pPr>
      <w:r w:rsidRPr="000A271B">
        <w:rPr>
          <w:rFonts w:ascii="Times New Roman" w:hAnsi="Times New Roman" w:cs="Times New Roman"/>
          <w:b/>
          <w:bCs/>
          <w:sz w:val="28"/>
          <w:szCs w:val="28"/>
        </w:rPr>
        <w:t xml:space="preserve">в </w:t>
      </w:r>
      <w:r w:rsidR="006657CF">
        <w:rPr>
          <w:rFonts w:ascii="Times New Roman" w:hAnsi="Times New Roman" w:cs="Times New Roman"/>
          <w:b/>
          <w:bCs/>
          <w:sz w:val="28"/>
          <w:szCs w:val="28"/>
        </w:rPr>
        <w:t xml:space="preserve">департаменте имущественных и земельных отношений </w:t>
      </w:r>
    </w:p>
    <w:p w:rsidR="00D246BB" w:rsidRPr="000A271B" w:rsidRDefault="006657CF" w:rsidP="000A27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Воронежской области</w:t>
      </w:r>
      <w:r w:rsidR="00E4697B">
        <w:rPr>
          <w:rFonts w:ascii="Times New Roman" w:hAnsi="Times New Roman" w:cs="Times New Roman"/>
          <w:b/>
          <w:bCs/>
          <w:sz w:val="28"/>
          <w:szCs w:val="28"/>
        </w:rPr>
        <w:t xml:space="preserve"> по итогам 202</w:t>
      </w:r>
      <w:r w:rsidR="003D02FA">
        <w:rPr>
          <w:rFonts w:ascii="Times New Roman" w:hAnsi="Times New Roman" w:cs="Times New Roman"/>
          <w:b/>
          <w:bCs/>
          <w:sz w:val="28"/>
          <w:szCs w:val="28"/>
        </w:rPr>
        <w:t>2</w:t>
      </w:r>
      <w:r w:rsidR="00E4697B">
        <w:rPr>
          <w:rFonts w:ascii="Times New Roman" w:hAnsi="Times New Roman" w:cs="Times New Roman"/>
          <w:b/>
          <w:bCs/>
          <w:sz w:val="28"/>
          <w:szCs w:val="28"/>
        </w:rPr>
        <w:t xml:space="preserve"> года</w:t>
      </w:r>
    </w:p>
    <w:p w:rsidR="000A271B" w:rsidRDefault="000A271B" w:rsidP="000A271B">
      <w:pPr>
        <w:ind w:firstLine="709"/>
        <w:jc w:val="both"/>
        <w:rPr>
          <w:rFonts w:ascii="Times New Roman" w:hAnsi="Times New Roman" w:cs="Times New Roman"/>
          <w:sz w:val="28"/>
          <w:szCs w:val="28"/>
        </w:rPr>
      </w:pPr>
    </w:p>
    <w:p w:rsidR="00D50A3F" w:rsidRDefault="00D246BB" w:rsidP="007440FF">
      <w:pPr>
        <w:spacing w:after="0" w:line="276" w:lineRule="auto"/>
        <w:ind w:firstLine="709"/>
        <w:jc w:val="both"/>
        <w:rPr>
          <w:rFonts w:ascii="Times New Roman" w:hAnsi="Times New Roman" w:cs="Times New Roman"/>
          <w:bCs/>
          <w:sz w:val="28"/>
          <w:szCs w:val="28"/>
        </w:rPr>
      </w:pPr>
      <w:r w:rsidRPr="000A271B">
        <w:rPr>
          <w:rFonts w:ascii="Times New Roman" w:hAnsi="Times New Roman" w:cs="Times New Roman"/>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w:t>
      </w:r>
      <w:r w:rsidR="00A37114">
        <w:rPr>
          <w:rFonts w:ascii="Times New Roman" w:hAnsi="Times New Roman" w:cs="Times New Roman"/>
          <w:sz w:val="28"/>
          <w:szCs w:val="28"/>
        </w:rPr>
        <w:t>,</w:t>
      </w:r>
      <w:r w:rsidRPr="000A271B">
        <w:rPr>
          <w:rFonts w:ascii="Times New Roman" w:hAnsi="Times New Roman" w:cs="Times New Roman"/>
          <w:sz w:val="28"/>
          <w:szCs w:val="28"/>
        </w:rPr>
        <w:t xml:space="preserve"> </w:t>
      </w:r>
      <w:r w:rsidR="003C7D74">
        <w:rPr>
          <w:rFonts w:ascii="Times New Roman" w:hAnsi="Times New Roman" w:cs="Times New Roman"/>
          <w:sz w:val="28"/>
          <w:szCs w:val="28"/>
        </w:rPr>
        <w:t>распоряжени</w:t>
      </w:r>
      <w:r w:rsidR="00A37114">
        <w:rPr>
          <w:rFonts w:ascii="Times New Roman" w:hAnsi="Times New Roman" w:cs="Times New Roman"/>
          <w:sz w:val="28"/>
          <w:szCs w:val="28"/>
        </w:rPr>
        <w:t>я</w:t>
      </w:r>
      <w:r w:rsidR="003C7D74">
        <w:rPr>
          <w:rFonts w:ascii="Times New Roman" w:hAnsi="Times New Roman" w:cs="Times New Roman"/>
          <w:sz w:val="28"/>
          <w:szCs w:val="28"/>
        </w:rPr>
        <w:t xml:space="preserve"> </w:t>
      </w:r>
      <w:r w:rsidR="00A37114">
        <w:rPr>
          <w:rFonts w:ascii="Times New Roman" w:hAnsi="Times New Roman" w:cs="Times New Roman"/>
          <w:sz w:val="28"/>
          <w:szCs w:val="28"/>
        </w:rPr>
        <w:t xml:space="preserve">правительства Воронежской области </w:t>
      </w:r>
      <w:r w:rsidR="00F86FCB">
        <w:rPr>
          <w:rFonts w:ascii="Times New Roman" w:hAnsi="Times New Roman" w:cs="Times New Roman"/>
          <w:sz w:val="28"/>
          <w:szCs w:val="28"/>
        </w:rPr>
        <w:t>от 07</w:t>
      </w:r>
      <w:r w:rsidR="00A37114">
        <w:rPr>
          <w:rFonts w:ascii="Times New Roman" w:hAnsi="Times New Roman" w:cs="Times New Roman"/>
          <w:sz w:val="28"/>
          <w:szCs w:val="28"/>
        </w:rPr>
        <w:t>.02.</w:t>
      </w:r>
      <w:r w:rsidR="00F86FCB">
        <w:rPr>
          <w:rFonts w:ascii="Times New Roman" w:hAnsi="Times New Roman" w:cs="Times New Roman"/>
          <w:sz w:val="28"/>
          <w:szCs w:val="28"/>
        </w:rPr>
        <w:t xml:space="preserve">2019 №102-р «О создании и </w:t>
      </w:r>
      <w:r w:rsidR="00F86FCB" w:rsidRPr="00F86FCB">
        <w:rPr>
          <w:rFonts w:ascii="Times New Roman" w:hAnsi="Times New Roman" w:cs="Times New Roman"/>
          <w:sz w:val="28"/>
          <w:szCs w:val="28"/>
        </w:rPr>
        <w:t>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w:t>
      </w:r>
      <w:r w:rsidR="00F86FCB">
        <w:rPr>
          <w:rFonts w:ascii="Times New Roman" w:hAnsi="Times New Roman" w:cs="Times New Roman"/>
          <w:sz w:val="28"/>
          <w:szCs w:val="28"/>
        </w:rPr>
        <w:t>»</w:t>
      </w:r>
      <w:r w:rsidR="003C7D74">
        <w:rPr>
          <w:rFonts w:ascii="Times New Roman" w:hAnsi="Times New Roman" w:cs="Times New Roman"/>
          <w:sz w:val="28"/>
          <w:szCs w:val="28"/>
        </w:rPr>
        <w:t xml:space="preserve">, </w:t>
      </w:r>
      <w:r w:rsidR="00A37114">
        <w:rPr>
          <w:rFonts w:ascii="Times New Roman" w:hAnsi="Times New Roman" w:cs="Times New Roman"/>
          <w:sz w:val="28"/>
          <w:szCs w:val="28"/>
        </w:rPr>
        <w:t xml:space="preserve">а также </w:t>
      </w:r>
      <w:r w:rsidR="003C7D74">
        <w:rPr>
          <w:rFonts w:ascii="Times New Roman" w:hAnsi="Times New Roman" w:cs="Times New Roman"/>
          <w:sz w:val="28"/>
          <w:szCs w:val="28"/>
        </w:rPr>
        <w:t>приказ</w:t>
      </w:r>
      <w:r w:rsidR="00A37114">
        <w:rPr>
          <w:rFonts w:ascii="Times New Roman" w:hAnsi="Times New Roman" w:cs="Times New Roman"/>
          <w:sz w:val="28"/>
          <w:szCs w:val="28"/>
        </w:rPr>
        <w:t>ов</w:t>
      </w:r>
      <w:r w:rsidR="003C7D74">
        <w:rPr>
          <w:rFonts w:ascii="Times New Roman" w:hAnsi="Times New Roman" w:cs="Times New Roman"/>
          <w:sz w:val="28"/>
          <w:szCs w:val="28"/>
        </w:rPr>
        <w:t xml:space="preserve"> </w:t>
      </w:r>
      <w:r w:rsidR="00A37114" w:rsidRPr="003C7D74">
        <w:rPr>
          <w:rFonts w:ascii="Times New Roman" w:hAnsi="Times New Roman" w:cs="Times New Roman"/>
          <w:bCs/>
          <w:sz w:val="28"/>
          <w:szCs w:val="28"/>
        </w:rPr>
        <w:t>департамент</w:t>
      </w:r>
      <w:r w:rsidR="00A37114">
        <w:rPr>
          <w:rFonts w:ascii="Times New Roman" w:hAnsi="Times New Roman" w:cs="Times New Roman"/>
          <w:bCs/>
          <w:sz w:val="28"/>
          <w:szCs w:val="28"/>
        </w:rPr>
        <w:t>а</w:t>
      </w:r>
      <w:r w:rsidR="00A37114" w:rsidRPr="003C7D74">
        <w:rPr>
          <w:rFonts w:ascii="Times New Roman" w:hAnsi="Times New Roman" w:cs="Times New Roman"/>
          <w:bCs/>
          <w:sz w:val="28"/>
          <w:szCs w:val="28"/>
        </w:rPr>
        <w:t xml:space="preserve"> имущественных и земельных отношений Воронежской области</w:t>
      </w:r>
      <w:r w:rsidR="00A37114" w:rsidRPr="003C7D74">
        <w:rPr>
          <w:rFonts w:ascii="Times New Roman" w:hAnsi="Times New Roman" w:cs="Times New Roman"/>
          <w:sz w:val="28"/>
          <w:szCs w:val="28"/>
        </w:rPr>
        <w:t xml:space="preserve"> </w:t>
      </w:r>
      <w:r w:rsidR="00D50A3F">
        <w:rPr>
          <w:rFonts w:ascii="Times New Roman" w:hAnsi="Times New Roman" w:cs="Times New Roman"/>
          <w:sz w:val="28"/>
          <w:szCs w:val="28"/>
        </w:rPr>
        <w:t xml:space="preserve">от 08.02.2019 № 249 «О создании и </w:t>
      </w:r>
      <w:r w:rsidR="00D50A3F" w:rsidRPr="00F86FCB">
        <w:rPr>
          <w:rFonts w:ascii="Times New Roman" w:hAnsi="Times New Roman" w:cs="Times New Roman"/>
          <w:sz w:val="28"/>
          <w:szCs w:val="28"/>
        </w:rPr>
        <w:t>организации системы внутреннего обеспечения соответствия требованиям антимонопольного законодательства деятельности</w:t>
      </w:r>
      <w:r w:rsidR="00D50A3F" w:rsidRPr="00D50A3F">
        <w:rPr>
          <w:rFonts w:ascii="Times New Roman" w:hAnsi="Times New Roman" w:cs="Times New Roman"/>
          <w:bCs/>
          <w:sz w:val="28"/>
          <w:szCs w:val="28"/>
        </w:rPr>
        <w:t xml:space="preserve"> </w:t>
      </w:r>
      <w:r w:rsidR="00D50A3F" w:rsidRPr="003C7D74">
        <w:rPr>
          <w:rFonts w:ascii="Times New Roman" w:hAnsi="Times New Roman" w:cs="Times New Roman"/>
          <w:bCs/>
          <w:sz w:val="28"/>
          <w:szCs w:val="28"/>
        </w:rPr>
        <w:t>департамент</w:t>
      </w:r>
      <w:r w:rsidR="00D50A3F">
        <w:rPr>
          <w:rFonts w:ascii="Times New Roman" w:hAnsi="Times New Roman" w:cs="Times New Roman"/>
          <w:bCs/>
          <w:sz w:val="28"/>
          <w:szCs w:val="28"/>
        </w:rPr>
        <w:t>а</w:t>
      </w:r>
      <w:r w:rsidR="00D50A3F" w:rsidRPr="003C7D74">
        <w:rPr>
          <w:rFonts w:ascii="Times New Roman" w:hAnsi="Times New Roman" w:cs="Times New Roman"/>
          <w:bCs/>
          <w:sz w:val="28"/>
          <w:szCs w:val="28"/>
        </w:rPr>
        <w:t xml:space="preserve"> имущественных и земельных отношений Воронежской области</w:t>
      </w:r>
      <w:r w:rsidR="00D50A3F">
        <w:rPr>
          <w:rFonts w:ascii="Times New Roman" w:hAnsi="Times New Roman" w:cs="Times New Roman"/>
          <w:bCs/>
          <w:sz w:val="28"/>
          <w:szCs w:val="28"/>
        </w:rPr>
        <w:t xml:space="preserve"> (антимонопольного </w:t>
      </w:r>
      <w:proofErr w:type="spellStart"/>
      <w:r w:rsidR="00D50A3F">
        <w:rPr>
          <w:rFonts w:ascii="Times New Roman" w:hAnsi="Times New Roman" w:cs="Times New Roman"/>
          <w:bCs/>
          <w:sz w:val="28"/>
          <w:szCs w:val="28"/>
        </w:rPr>
        <w:t>комплаенса</w:t>
      </w:r>
      <w:proofErr w:type="spellEnd"/>
      <w:r w:rsidR="00D50A3F">
        <w:rPr>
          <w:rFonts w:ascii="Times New Roman" w:hAnsi="Times New Roman" w:cs="Times New Roman"/>
          <w:bCs/>
          <w:sz w:val="28"/>
          <w:szCs w:val="28"/>
        </w:rPr>
        <w:t>)»</w:t>
      </w:r>
      <w:r w:rsidR="004E0D3D">
        <w:rPr>
          <w:rFonts w:ascii="Times New Roman" w:hAnsi="Times New Roman" w:cs="Times New Roman"/>
          <w:bCs/>
          <w:sz w:val="28"/>
          <w:szCs w:val="28"/>
        </w:rPr>
        <w:t>,</w:t>
      </w:r>
      <w:r w:rsidR="00BE301A" w:rsidRPr="00BE301A">
        <w:rPr>
          <w:rFonts w:ascii="Times New Roman" w:hAnsi="Times New Roman" w:cs="Times New Roman"/>
          <w:bCs/>
          <w:sz w:val="28"/>
          <w:szCs w:val="28"/>
        </w:rPr>
        <w:t xml:space="preserve"> </w:t>
      </w:r>
      <w:r w:rsidR="00BE301A">
        <w:rPr>
          <w:rFonts w:ascii="Times New Roman" w:hAnsi="Times New Roman" w:cs="Times New Roman"/>
          <w:bCs/>
          <w:sz w:val="28"/>
          <w:szCs w:val="28"/>
        </w:rPr>
        <w:t xml:space="preserve">от 11.11.2019 № 2880 «Об утверждении карты </w:t>
      </w:r>
      <w:proofErr w:type="spellStart"/>
      <w:r w:rsidR="00BE301A">
        <w:rPr>
          <w:rFonts w:ascii="Times New Roman" w:hAnsi="Times New Roman" w:cs="Times New Roman"/>
          <w:bCs/>
          <w:sz w:val="28"/>
          <w:szCs w:val="28"/>
        </w:rPr>
        <w:t>комплаенс</w:t>
      </w:r>
      <w:proofErr w:type="spellEnd"/>
      <w:r w:rsidR="00BE301A">
        <w:rPr>
          <w:rFonts w:ascii="Times New Roman" w:hAnsi="Times New Roman" w:cs="Times New Roman"/>
          <w:bCs/>
          <w:sz w:val="28"/>
          <w:szCs w:val="28"/>
        </w:rPr>
        <w:t xml:space="preserve">-рисков </w:t>
      </w:r>
      <w:r w:rsidR="00BE301A" w:rsidRPr="00D50A3F">
        <w:rPr>
          <w:rFonts w:ascii="Times New Roman" w:hAnsi="Times New Roman" w:cs="Times New Roman"/>
          <w:bCs/>
          <w:sz w:val="28"/>
          <w:szCs w:val="28"/>
        </w:rPr>
        <w:t>департамент</w:t>
      </w:r>
      <w:r w:rsidR="00BE301A">
        <w:rPr>
          <w:rFonts w:ascii="Times New Roman" w:hAnsi="Times New Roman" w:cs="Times New Roman"/>
          <w:bCs/>
          <w:sz w:val="28"/>
          <w:szCs w:val="28"/>
        </w:rPr>
        <w:t>а</w:t>
      </w:r>
      <w:r w:rsidR="00BE301A" w:rsidRPr="00D50A3F">
        <w:rPr>
          <w:rFonts w:ascii="Times New Roman" w:hAnsi="Times New Roman" w:cs="Times New Roman"/>
          <w:bCs/>
          <w:sz w:val="28"/>
          <w:szCs w:val="28"/>
        </w:rPr>
        <w:t xml:space="preserve"> имущественных и земельных отношений Воронежской области</w:t>
      </w:r>
      <w:r w:rsidR="00BE301A">
        <w:rPr>
          <w:rFonts w:ascii="Times New Roman" w:hAnsi="Times New Roman" w:cs="Times New Roman"/>
          <w:bCs/>
          <w:sz w:val="28"/>
          <w:szCs w:val="28"/>
        </w:rPr>
        <w:t>»,</w:t>
      </w:r>
      <w:r w:rsidR="004E0D3D">
        <w:rPr>
          <w:rFonts w:ascii="Times New Roman" w:hAnsi="Times New Roman" w:cs="Times New Roman"/>
          <w:bCs/>
          <w:sz w:val="28"/>
          <w:szCs w:val="28"/>
        </w:rPr>
        <w:t xml:space="preserve"> </w:t>
      </w:r>
      <w:r w:rsidR="00A37114">
        <w:rPr>
          <w:rFonts w:ascii="Times New Roman" w:hAnsi="Times New Roman" w:cs="Times New Roman"/>
          <w:bCs/>
          <w:sz w:val="28"/>
          <w:szCs w:val="28"/>
        </w:rPr>
        <w:t xml:space="preserve">от </w:t>
      </w:r>
      <w:r w:rsidR="003D02FA">
        <w:rPr>
          <w:rFonts w:ascii="Times New Roman" w:hAnsi="Times New Roman" w:cs="Times New Roman"/>
          <w:bCs/>
          <w:sz w:val="28"/>
          <w:szCs w:val="28"/>
        </w:rPr>
        <w:t>01.02</w:t>
      </w:r>
      <w:r w:rsidR="00A37114">
        <w:rPr>
          <w:rFonts w:ascii="Times New Roman" w:hAnsi="Times New Roman" w:cs="Times New Roman"/>
          <w:bCs/>
          <w:sz w:val="28"/>
          <w:szCs w:val="28"/>
        </w:rPr>
        <w:t>.202</w:t>
      </w:r>
      <w:r w:rsidR="00D410D5">
        <w:rPr>
          <w:rFonts w:ascii="Times New Roman" w:hAnsi="Times New Roman" w:cs="Times New Roman"/>
          <w:bCs/>
          <w:sz w:val="28"/>
          <w:szCs w:val="28"/>
        </w:rPr>
        <w:t>1</w:t>
      </w:r>
      <w:r w:rsidR="00A37114">
        <w:rPr>
          <w:rFonts w:ascii="Times New Roman" w:hAnsi="Times New Roman" w:cs="Times New Roman"/>
          <w:bCs/>
          <w:sz w:val="28"/>
          <w:szCs w:val="28"/>
        </w:rPr>
        <w:t xml:space="preserve"> № </w:t>
      </w:r>
      <w:r w:rsidR="003D02FA">
        <w:rPr>
          <w:rFonts w:ascii="Times New Roman" w:hAnsi="Times New Roman" w:cs="Times New Roman"/>
          <w:bCs/>
          <w:sz w:val="28"/>
          <w:szCs w:val="28"/>
        </w:rPr>
        <w:t>192</w:t>
      </w:r>
      <w:r w:rsidR="00A37114">
        <w:rPr>
          <w:rFonts w:ascii="Times New Roman" w:hAnsi="Times New Roman" w:cs="Times New Roman"/>
          <w:bCs/>
          <w:sz w:val="28"/>
          <w:szCs w:val="28"/>
        </w:rPr>
        <w:t xml:space="preserve"> «</w:t>
      </w:r>
      <w:r w:rsidR="00A37114" w:rsidRPr="00D50A3F">
        <w:rPr>
          <w:rFonts w:ascii="Times New Roman" w:hAnsi="Times New Roman" w:cs="Times New Roman"/>
          <w:bCs/>
          <w:sz w:val="28"/>
          <w:szCs w:val="28"/>
        </w:rPr>
        <w:t xml:space="preserve">Об утверждении ключевых показателей эффективности антимонопольного </w:t>
      </w:r>
      <w:proofErr w:type="spellStart"/>
      <w:r w:rsidR="00A37114" w:rsidRPr="00D50A3F">
        <w:rPr>
          <w:rFonts w:ascii="Times New Roman" w:hAnsi="Times New Roman" w:cs="Times New Roman"/>
          <w:bCs/>
          <w:sz w:val="28"/>
          <w:szCs w:val="28"/>
        </w:rPr>
        <w:t>комплаенса</w:t>
      </w:r>
      <w:proofErr w:type="spellEnd"/>
      <w:r w:rsidR="00A37114" w:rsidRPr="00D50A3F">
        <w:rPr>
          <w:rFonts w:ascii="Times New Roman" w:hAnsi="Times New Roman" w:cs="Times New Roman"/>
          <w:bCs/>
          <w:sz w:val="28"/>
          <w:szCs w:val="28"/>
        </w:rPr>
        <w:t xml:space="preserve"> в департаменте имущественных и земельных отношений Воронежской области на 20</w:t>
      </w:r>
      <w:r w:rsidR="00A37114">
        <w:rPr>
          <w:rFonts w:ascii="Times New Roman" w:hAnsi="Times New Roman" w:cs="Times New Roman"/>
          <w:bCs/>
          <w:sz w:val="28"/>
          <w:szCs w:val="28"/>
        </w:rPr>
        <w:t>2</w:t>
      </w:r>
      <w:r w:rsidR="003D02FA">
        <w:rPr>
          <w:rFonts w:ascii="Times New Roman" w:hAnsi="Times New Roman" w:cs="Times New Roman"/>
          <w:bCs/>
          <w:sz w:val="28"/>
          <w:szCs w:val="28"/>
        </w:rPr>
        <w:t>2</w:t>
      </w:r>
      <w:r w:rsidR="00A37114" w:rsidRPr="00D50A3F">
        <w:rPr>
          <w:rFonts w:ascii="Times New Roman" w:hAnsi="Times New Roman" w:cs="Times New Roman"/>
          <w:bCs/>
          <w:sz w:val="28"/>
          <w:szCs w:val="28"/>
        </w:rPr>
        <w:t xml:space="preserve"> год</w:t>
      </w:r>
      <w:r w:rsidR="00A37114">
        <w:rPr>
          <w:rFonts w:ascii="Times New Roman" w:hAnsi="Times New Roman" w:cs="Times New Roman"/>
          <w:bCs/>
          <w:sz w:val="28"/>
          <w:szCs w:val="28"/>
        </w:rPr>
        <w:t>»</w:t>
      </w:r>
      <w:r w:rsidR="00BE301A">
        <w:rPr>
          <w:rFonts w:ascii="Times New Roman" w:hAnsi="Times New Roman" w:cs="Times New Roman"/>
          <w:bCs/>
          <w:sz w:val="28"/>
          <w:szCs w:val="28"/>
        </w:rPr>
        <w:t xml:space="preserve"> </w:t>
      </w:r>
      <w:r w:rsidR="004E0D3D">
        <w:rPr>
          <w:rFonts w:ascii="Times New Roman" w:hAnsi="Times New Roman" w:cs="Times New Roman"/>
          <w:bCs/>
          <w:sz w:val="28"/>
          <w:szCs w:val="28"/>
        </w:rPr>
        <w:t xml:space="preserve">в департаменте </w:t>
      </w:r>
      <w:r w:rsidR="002746A2">
        <w:rPr>
          <w:rFonts w:ascii="Times New Roman" w:hAnsi="Times New Roman" w:cs="Times New Roman"/>
          <w:bCs/>
          <w:sz w:val="28"/>
          <w:szCs w:val="28"/>
        </w:rPr>
        <w:t xml:space="preserve">обеспечивается функционирование </w:t>
      </w:r>
      <w:r w:rsidR="004E0D3D">
        <w:rPr>
          <w:rFonts w:ascii="Times New Roman" w:hAnsi="Times New Roman" w:cs="Times New Roman"/>
          <w:bCs/>
          <w:sz w:val="28"/>
          <w:szCs w:val="28"/>
        </w:rPr>
        <w:t>систем</w:t>
      </w:r>
      <w:r w:rsidR="002746A2">
        <w:rPr>
          <w:rFonts w:ascii="Times New Roman" w:hAnsi="Times New Roman" w:cs="Times New Roman"/>
          <w:bCs/>
          <w:sz w:val="28"/>
          <w:szCs w:val="28"/>
        </w:rPr>
        <w:t>ы</w:t>
      </w:r>
      <w:r w:rsidR="004E0D3D">
        <w:rPr>
          <w:rFonts w:ascii="Times New Roman" w:hAnsi="Times New Roman" w:cs="Times New Roman"/>
          <w:bCs/>
          <w:sz w:val="28"/>
          <w:szCs w:val="28"/>
        </w:rPr>
        <w:t xml:space="preserve"> </w:t>
      </w:r>
      <w:r w:rsidR="004E0D3D" w:rsidRPr="00F86FCB">
        <w:rPr>
          <w:rFonts w:ascii="Times New Roman" w:hAnsi="Times New Roman" w:cs="Times New Roman"/>
          <w:sz w:val="28"/>
          <w:szCs w:val="28"/>
        </w:rPr>
        <w:t>внутреннего обеспечения соответствия требованиям антимонопольного законодательства</w:t>
      </w:r>
      <w:r w:rsidR="002746A2">
        <w:rPr>
          <w:rFonts w:ascii="Times New Roman" w:hAnsi="Times New Roman" w:cs="Times New Roman"/>
          <w:bCs/>
          <w:sz w:val="28"/>
          <w:szCs w:val="28"/>
        </w:rPr>
        <w:t>.</w:t>
      </w:r>
    </w:p>
    <w:p w:rsidR="00116B88" w:rsidRDefault="004B0544" w:rsidP="00116B8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отделом правового обеспечения департамента оценки рисков нарушения антимонопольного законодательства в деятельности департамента у</w:t>
      </w:r>
      <w:r w:rsidR="002746A2">
        <w:rPr>
          <w:rFonts w:ascii="Times New Roman" w:hAnsi="Times New Roman" w:cs="Times New Roman"/>
          <w:sz w:val="28"/>
          <w:szCs w:val="28"/>
        </w:rPr>
        <w:t xml:space="preserve">тверждена </w:t>
      </w:r>
      <w:r w:rsidR="001B3BB4">
        <w:rPr>
          <w:rFonts w:ascii="Times New Roman" w:hAnsi="Times New Roman" w:cs="Times New Roman"/>
          <w:sz w:val="28"/>
          <w:szCs w:val="28"/>
        </w:rPr>
        <w:t>карт</w:t>
      </w:r>
      <w:r w:rsidR="002746A2">
        <w:rPr>
          <w:rFonts w:ascii="Times New Roman" w:hAnsi="Times New Roman" w:cs="Times New Roman"/>
          <w:sz w:val="28"/>
          <w:szCs w:val="28"/>
        </w:rPr>
        <w:t>а</w:t>
      </w:r>
      <w:r w:rsidR="001B3BB4">
        <w:rPr>
          <w:rFonts w:ascii="Times New Roman" w:hAnsi="Times New Roman" w:cs="Times New Roman"/>
          <w:sz w:val="28"/>
          <w:szCs w:val="28"/>
        </w:rPr>
        <w:t xml:space="preserve"> </w:t>
      </w:r>
      <w:proofErr w:type="spellStart"/>
      <w:r w:rsidR="001B3BB4">
        <w:rPr>
          <w:rFonts w:ascii="Times New Roman" w:hAnsi="Times New Roman" w:cs="Times New Roman"/>
          <w:bCs/>
          <w:sz w:val="28"/>
          <w:szCs w:val="28"/>
        </w:rPr>
        <w:t>комплаенс</w:t>
      </w:r>
      <w:proofErr w:type="spellEnd"/>
      <w:r w:rsidR="001B3BB4">
        <w:rPr>
          <w:rFonts w:ascii="Times New Roman" w:hAnsi="Times New Roman" w:cs="Times New Roman"/>
          <w:bCs/>
          <w:sz w:val="28"/>
          <w:szCs w:val="28"/>
        </w:rPr>
        <w:t xml:space="preserve">-рисков </w:t>
      </w:r>
      <w:r w:rsidR="00F71438">
        <w:rPr>
          <w:rFonts w:ascii="Times New Roman" w:hAnsi="Times New Roman" w:cs="Times New Roman"/>
          <w:sz w:val="28"/>
          <w:szCs w:val="28"/>
        </w:rPr>
        <w:t>(приложение 1)</w:t>
      </w:r>
      <w:r w:rsidR="002746A2">
        <w:rPr>
          <w:rFonts w:ascii="Times New Roman" w:hAnsi="Times New Roman" w:cs="Times New Roman"/>
          <w:sz w:val="28"/>
          <w:szCs w:val="28"/>
        </w:rPr>
        <w:t xml:space="preserve">, </w:t>
      </w:r>
      <w:r w:rsidR="007440FF">
        <w:rPr>
          <w:rFonts w:ascii="Times New Roman" w:hAnsi="Times New Roman" w:cs="Times New Roman"/>
          <w:sz w:val="28"/>
          <w:szCs w:val="28"/>
        </w:rPr>
        <w:t xml:space="preserve">разработан и реализуется </w:t>
      </w:r>
      <w:r w:rsidR="007440FF" w:rsidRPr="001276F0">
        <w:rPr>
          <w:rFonts w:ascii="Times New Roman" w:hAnsi="Times New Roman" w:cs="Times New Roman"/>
          <w:sz w:val="28"/>
          <w:szCs w:val="28"/>
        </w:rPr>
        <w:t>План мероприятий (</w:t>
      </w:r>
      <w:r w:rsidR="007440FF">
        <w:rPr>
          <w:rFonts w:ascii="Times New Roman" w:hAnsi="Times New Roman" w:cs="Times New Roman"/>
          <w:sz w:val="28"/>
          <w:szCs w:val="28"/>
        </w:rPr>
        <w:t>«</w:t>
      </w:r>
      <w:r w:rsidR="007440FF" w:rsidRPr="001276F0">
        <w:rPr>
          <w:rFonts w:ascii="Times New Roman" w:hAnsi="Times New Roman" w:cs="Times New Roman"/>
          <w:sz w:val="28"/>
          <w:szCs w:val="28"/>
        </w:rPr>
        <w:t>дорожн</w:t>
      </w:r>
      <w:r w:rsidR="007440FF">
        <w:rPr>
          <w:rFonts w:ascii="Times New Roman" w:hAnsi="Times New Roman" w:cs="Times New Roman"/>
          <w:sz w:val="28"/>
          <w:szCs w:val="28"/>
        </w:rPr>
        <w:t>ая</w:t>
      </w:r>
      <w:r w:rsidR="007440FF" w:rsidRPr="001276F0">
        <w:rPr>
          <w:rFonts w:ascii="Times New Roman" w:hAnsi="Times New Roman" w:cs="Times New Roman"/>
          <w:sz w:val="28"/>
          <w:szCs w:val="28"/>
        </w:rPr>
        <w:t xml:space="preserve"> карт</w:t>
      </w:r>
      <w:r w:rsidR="007440FF">
        <w:rPr>
          <w:rFonts w:ascii="Times New Roman" w:hAnsi="Times New Roman" w:cs="Times New Roman"/>
          <w:sz w:val="28"/>
          <w:szCs w:val="28"/>
        </w:rPr>
        <w:t>а»</w:t>
      </w:r>
      <w:r w:rsidR="007440FF" w:rsidRPr="001276F0">
        <w:rPr>
          <w:rFonts w:ascii="Times New Roman" w:hAnsi="Times New Roman" w:cs="Times New Roman"/>
          <w:sz w:val="28"/>
          <w:szCs w:val="28"/>
        </w:rPr>
        <w:t xml:space="preserve">) </w:t>
      </w:r>
      <w:r w:rsidR="007440FF">
        <w:rPr>
          <w:rFonts w:ascii="Times New Roman" w:hAnsi="Times New Roman" w:cs="Times New Roman"/>
          <w:sz w:val="28"/>
          <w:szCs w:val="28"/>
        </w:rPr>
        <w:t xml:space="preserve">департамента </w:t>
      </w:r>
      <w:r w:rsidR="007440FF" w:rsidRPr="001276F0">
        <w:rPr>
          <w:rFonts w:ascii="Times New Roman" w:hAnsi="Times New Roman" w:cs="Times New Roman"/>
          <w:sz w:val="28"/>
          <w:szCs w:val="28"/>
        </w:rPr>
        <w:t>по снижению рисков нарушения антимонопольного законодательства</w:t>
      </w:r>
      <w:r w:rsidR="007440FF">
        <w:rPr>
          <w:rFonts w:ascii="Times New Roman" w:hAnsi="Times New Roman" w:cs="Times New Roman"/>
          <w:sz w:val="28"/>
          <w:szCs w:val="28"/>
        </w:rPr>
        <w:t xml:space="preserve"> (приложение 2).</w:t>
      </w:r>
      <w:r w:rsidR="007440FF" w:rsidRPr="001276F0">
        <w:rPr>
          <w:rFonts w:ascii="Times New Roman" w:hAnsi="Times New Roman" w:cs="Times New Roman"/>
          <w:sz w:val="28"/>
          <w:szCs w:val="28"/>
        </w:rPr>
        <w:t xml:space="preserve"> </w:t>
      </w:r>
    </w:p>
    <w:p w:rsidR="00674C78" w:rsidRDefault="00674C78" w:rsidP="00116B8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мероприятий по </w:t>
      </w:r>
      <w:r w:rsidR="00116B88" w:rsidRPr="001276F0">
        <w:rPr>
          <w:rFonts w:ascii="Times New Roman" w:hAnsi="Times New Roman" w:cs="Times New Roman"/>
          <w:sz w:val="28"/>
          <w:szCs w:val="28"/>
        </w:rPr>
        <w:t>снижению рисков нарушения антимонопольного законодательства</w:t>
      </w:r>
      <w:r w:rsidR="00116B88">
        <w:rPr>
          <w:rFonts w:ascii="Times New Roman" w:hAnsi="Times New Roman" w:cs="Times New Roman"/>
          <w:sz w:val="28"/>
          <w:szCs w:val="28"/>
        </w:rPr>
        <w:t xml:space="preserve"> </w:t>
      </w:r>
      <w:r>
        <w:rPr>
          <w:rFonts w:ascii="Times New Roman" w:hAnsi="Times New Roman" w:cs="Times New Roman"/>
          <w:sz w:val="28"/>
          <w:szCs w:val="28"/>
        </w:rPr>
        <w:t>в 20</w:t>
      </w:r>
      <w:r w:rsidR="005517DC">
        <w:rPr>
          <w:rFonts w:ascii="Times New Roman" w:hAnsi="Times New Roman" w:cs="Times New Roman"/>
          <w:sz w:val="28"/>
          <w:szCs w:val="28"/>
        </w:rPr>
        <w:t>2</w:t>
      </w:r>
      <w:r w:rsidR="003D02FA">
        <w:rPr>
          <w:rFonts w:ascii="Times New Roman" w:hAnsi="Times New Roman" w:cs="Times New Roman"/>
          <w:sz w:val="28"/>
          <w:szCs w:val="28"/>
        </w:rPr>
        <w:t>2</w:t>
      </w:r>
      <w:r>
        <w:rPr>
          <w:rFonts w:ascii="Times New Roman" w:hAnsi="Times New Roman" w:cs="Times New Roman"/>
          <w:sz w:val="28"/>
          <w:szCs w:val="28"/>
        </w:rPr>
        <w:t xml:space="preserve"> году проведен</w:t>
      </w:r>
      <w:r w:rsidR="00116B88">
        <w:rPr>
          <w:rFonts w:ascii="Times New Roman" w:hAnsi="Times New Roman" w:cs="Times New Roman"/>
          <w:sz w:val="28"/>
          <w:szCs w:val="28"/>
        </w:rPr>
        <w:t>а</w:t>
      </w:r>
      <w:r>
        <w:rPr>
          <w:rFonts w:ascii="Times New Roman" w:hAnsi="Times New Roman" w:cs="Times New Roman"/>
          <w:sz w:val="28"/>
          <w:szCs w:val="28"/>
        </w:rPr>
        <w:t xml:space="preserve"> следующ</w:t>
      </w:r>
      <w:r w:rsidR="00116B88">
        <w:rPr>
          <w:rFonts w:ascii="Times New Roman" w:hAnsi="Times New Roman" w:cs="Times New Roman"/>
          <w:sz w:val="28"/>
          <w:szCs w:val="28"/>
        </w:rPr>
        <w:t>ая</w:t>
      </w:r>
      <w:r>
        <w:rPr>
          <w:rFonts w:ascii="Times New Roman" w:hAnsi="Times New Roman" w:cs="Times New Roman"/>
          <w:sz w:val="28"/>
          <w:szCs w:val="28"/>
        </w:rPr>
        <w:t xml:space="preserve"> </w:t>
      </w:r>
      <w:r w:rsidR="00116B88">
        <w:rPr>
          <w:rFonts w:ascii="Times New Roman" w:hAnsi="Times New Roman" w:cs="Times New Roman"/>
          <w:sz w:val="28"/>
          <w:szCs w:val="28"/>
        </w:rPr>
        <w:t>работа</w:t>
      </w:r>
      <w:r>
        <w:rPr>
          <w:rFonts w:ascii="Times New Roman" w:hAnsi="Times New Roman" w:cs="Times New Roman"/>
          <w:sz w:val="28"/>
          <w:szCs w:val="28"/>
        </w:rPr>
        <w:t>.</w:t>
      </w:r>
    </w:p>
    <w:p w:rsidR="002447EF" w:rsidRDefault="002C49B9"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74C78">
        <w:rPr>
          <w:rFonts w:ascii="Times New Roman" w:hAnsi="Times New Roman" w:cs="Times New Roman"/>
          <w:sz w:val="28"/>
          <w:szCs w:val="28"/>
        </w:rPr>
        <w:t xml:space="preserve">Отделом правового обеспечения департамента проведена правовая и антикоррупционная экспертиза </w:t>
      </w:r>
      <w:r w:rsidR="00715E71">
        <w:rPr>
          <w:rFonts w:ascii="Times New Roman" w:hAnsi="Times New Roman" w:cs="Times New Roman"/>
          <w:sz w:val="28"/>
          <w:szCs w:val="28"/>
        </w:rPr>
        <w:t>80</w:t>
      </w:r>
      <w:r w:rsidR="00674C78">
        <w:rPr>
          <w:rFonts w:ascii="Times New Roman" w:hAnsi="Times New Roman" w:cs="Times New Roman"/>
          <w:sz w:val="28"/>
          <w:szCs w:val="28"/>
        </w:rPr>
        <w:t xml:space="preserve"> проектов правовых актов департамента, по результатам которой фактов нарушения антимонопольного законодательства не выявлено.</w:t>
      </w:r>
      <w:r w:rsidR="002447EF" w:rsidRPr="002447EF">
        <w:rPr>
          <w:rFonts w:ascii="Times New Roman" w:hAnsi="Times New Roman" w:cs="Times New Roman"/>
          <w:sz w:val="28"/>
          <w:szCs w:val="28"/>
        </w:rPr>
        <w:t xml:space="preserve"> </w:t>
      </w:r>
    </w:p>
    <w:p w:rsidR="002A7BE1" w:rsidRDefault="002A7BE1"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отношении </w:t>
      </w:r>
      <w:r w:rsidR="00E075BE">
        <w:rPr>
          <w:rFonts w:ascii="Times New Roman" w:hAnsi="Times New Roman" w:cs="Times New Roman"/>
          <w:sz w:val="28"/>
          <w:szCs w:val="28"/>
        </w:rPr>
        <w:t xml:space="preserve">одного </w:t>
      </w:r>
      <w:r>
        <w:rPr>
          <w:rFonts w:ascii="Times New Roman" w:hAnsi="Times New Roman" w:cs="Times New Roman"/>
          <w:sz w:val="28"/>
          <w:szCs w:val="28"/>
        </w:rPr>
        <w:t>проект</w:t>
      </w:r>
      <w:r w:rsidR="00E075BE">
        <w:rPr>
          <w:rFonts w:ascii="Times New Roman" w:hAnsi="Times New Roman" w:cs="Times New Roman"/>
          <w:sz w:val="28"/>
          <w:szCs w:val="28"/>
        </w:rPr>
        <w:t>а</w:t>
      </w:r>
      <w:r>
        <w:rPr>
          <w:rFonts w:ascii="Times New Roman" w:hAnsi="Times New Roman" w:cs="Times New Roman"/>
          <w:sz w:val="28"/>
          <w:szCs w:val="28"/>
        </w:rPr>
        <w:t xml:space="preserve"> нормативн</w:t>
      </w:r>
      <w:r w:rsidR="00E075BE">
        <w:rPr>
          <w:rFonts w:ascii="Times New Roman" w:hAnsi="Times New Roman" w:cs="Times New Roman"/>
          <w:sz w:val="28"/>
          <w:szCs w:val="28"/>
        </w:rPr>
        <w:t>ого</w:t>
      </w:r>
      <w:r>
        <w:rPr>
          <w:rFonts w:ascii="Times New Roman" w:hAnsi="Times New Roman" w:cs="Times New Roman"/>
          <w:sz w:val="28"/>
          <w:szCs w:val="28"/>
        </w:rPr>
        <w:t xml:space="preserve"> правов</w:t>
      </w:r>
      <w:r w:rsidR="00E075BE">
        <w:rPr>
          <w:rFonts w:ascii="Times New Roman" w:hAnsi="Times New Roman" w:cs="Times New Roman"/>
          <w:sz w:val="28"/>
          <w:szCs w:val="28"/>
        </w:rPr>
        <w:t>ого</w:t>
      </w:r>
      <w:r>
        <w:rPr>
          <w:rFonts w:ascii="Times New Roman" w:hAnsi="Times New Roman" w:cs="Times New Roman"/>
          <w:sz w:val="28"/>
          <w:szCs w:val="28"/>
        </w:rPr>
        <w:t xml:space="preserve"> акт</w:t>
      </w:r>
      <w:r w:rsidR="00E075BE">
        <w:rPr>
          <w:rFonts w:ascii="Times New Roman" w:hAnsi="Times New Roman" w:cs="Times New Roman"/>
          <w:sz w:val="28"/>
          <w:szCs w:val="28"/>
        </w:rPr>
        <w:t>а</w:t>
      </w:r>
      <w:r>
        <w:rPr>
          <w:rFonts w:ascii="Times New Roman" w:hAnsi="Times New Roman" w:cs="Times New Roman"/>
          <w:sz w:val="28"/>
          <w:szCs w:val="28"/>
        </w:rPr>
        <w:t xml:space="preserve"> департамента имелись замечания о несоответствии федеральному законодательству, изложенные в письм</w:t>
      </w:r>
      <w:r w:rsidR="00E075BE">
        <w:rPr>
          <w:rFonts w:ascii="Times New Roman" w:hAnsi="Times New Roman" w:cs="Times New Roman"/>
          <w:sz w:val="28"/>
          <w:szCs w:val="28"/>
        </w:rPr>
        <w:t>е</w:t>
      </w:r>
      <w:r>
        <w:rPr>
          <w:rFonts w:ascii="Times New Roman" w:hAnsi="Times New Roman" w:cs="Times New Roman"/>
          <w:sz w:val="28"/>
          <w:szCs w:val="28"/>
        </w:rPr>
        <w:t xml:space="preserve"> прокуратуры Воронежской области, которые устранены в установленном порядке.</w:t>
      </w:r>
    </w:p>
    <w:p w:rsidR="00AC21BA" w:rsidRDefault="00AC21BA" w:rsidP="00423C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вступивших в законную силу нормативных правовых актов департамента име</w:t>
      </w:r>
      <w:r w:rsidR="00AF5278">
        <w:rPr>
          <w:rFonts w:ascii="Times New Roman" w:hAnsi="Times New Roman" w:cs="Times New Roman"/>
          <w:sz w:val="28"/>
          <w:szCs w:val="28"/>
        </w:rPr>
        <w:t>лись</w:t>
      </w:r>
      <w:r>
        <w:rPr>
          <w:rFonts w:ascii="Times New Roman" w:hAnsi="Times New Roman" w:cs="Times New Roman"/>
          <w:sz w:val="28"/>
          <w:szCs w:val="28"/>
        </w:rPr>
        <w:t xml:space="preserve"> замечания</w:t>
      </w:r>
      <w:r w:rsidR="004B0544">
        <w:rPr>
          <w:rFonts w:ascii="Times New Roman" w:hAnsi="Times New Roman" w:cs="Times New Roman"/>
          <w:sz w:val="28"/>
          <w:szCs w:val="28"/>
        </w:rPr>
        <w:t xml:space="preserve"> о несоответствии федеральному законодательству</w:t>
      </w:r>
      <w:r w:rsidR="002A7BE1">
        <w:rPr>
          <w:rFonts w:ascii="Times New Roman" w:hAnsi="Times New Roman" w:cs="Times New Roman"/>
          <w:sz w:val="28"/>
          <w:szCs w:val="28"/>
        </w:rPr>
        <w:t>, нарушении правил юридической техники</w:t>
      </w:r>
      <w:r>
        <w:rPr>
          <w:rFonts w:ascii="Times New Roman" w:hAnsi="Times New Roman" w:cs="Times New Roman"/>
          <w:sz w:val="28"/>
          <w:szCs w:val="28"/>
        </w:rPr>
        <w:t xml:space="preserve">, изложенные в </w:t>
      </w:r>
      <w:r w:rsidR="002A7BE1">
        <w:rPr>
          <w:rFonts w:ascii="Times New Roman" w:hAnsi="Times New Roman" w:cs="Times New Roman"/>
          <w:sz w:val="28"/>
          <w:szCs w:val="28"/>
        </w:rPr>
        <w:t>2</w:t>
      </w:r>
      <w:r w:rsidR="004B0544">
        <w:rPr>
          <w:rFonts w:ascii="Times New Roman" w:hAnsi="Times New Roman" w:cs="Times New Roman"/>
          <w:sz w:val="28"/>
          <w:szCs w:val="28"/>
        </w:rPr>
        <w:t xml:space="preserve">-х </w:t>
      </w:r>
      <w:r>
        <w:rPr>
          <w:rFonts w:ascii="Times New Roman" w:hAnsi="Times New Roman" w:cs="Times New Roman"/>
          <w:sz w:val="28"/>
          <w:szCs w:val="28"/>
        </w:rPr>
        <w:t>протест</w:t>
      </w:r>
      <w:r w:rsidR="004B0544">
        <w:rPr>
          <w:rFonts w:ascii="Times New Roman" w:hAnsi="Times New Roman" w:cs="Times New Roman"/>
          <w:sz w:val="28"/>
          <w:szCs w:val="28"/>
        </w:rPr>
        <w:t>ах</w:t>
      </w:r>
      <w:r>
        <w:rPr>
          <w:rFonts w:ascii="Times New Roman" w:hAnsi="Times New Roman" w:cs="Times New Roman"/>
          <w:sz w:val="28"/>
          <w:szCs w:val="28"/>
        </w:rPr>
        <w:t xml:space="preserve"> прокуратуры Воронежской области, </w:t>
      </w:r>
      <w:r w:rsidR="006844B1">
        <w:rPr>
          <w:rFonts w:ascii="Times New Roman" w:hAnsi="Times New Roman" w:cs="Times New Roman"/>
          <w:sz w:val="28"/>
          <w:szCs w:val="28"/>
        </w:rPr>
        <w:t xml:space="preserve">и </w:t>
      </w:r>
      <w:r w:rsidR="002A7BE1">
        <w:rPr>
          <w:rFonts w:ascii="Times New Roman" w:hAnsi="Times New Roman" w:cs="Times New Roman"/>
          <w:sz w:val="28"/>
          <w:szCs w:val="28"/>
        </w:rPr>
        <w:t>2</w:t>
      </w:r>
      <w:r w:rsidR="004B0544">
        <w:rPr>
          <w:rFonts w:ascii="Times New Roman" w:hAnsi="Times New Roman" w:cs="Times New Roman"/>
          <w:sz w:val="28"/>
          <w:szCs w:val="28"/>
        </w:rPr>
        <w:t xml:space="preserve">-х </w:t>
      </w:r>
      <w:r w:rsidR="006844B1">
        <w:rPr>
          <w:rFonts w:ascii="Times New Roman" w:hAnsi="Times New Roman" w:cs="Times New Roman"/>
          <w:sz w:val="28"/>
          <w:szCs w:val="28"/>
        </w:rPr>
        <w:t>заключениях Минюста по Воронежской области</w:t>
      </w:r>
      <w:r>
        <w:rPr>
          <w:rFonts w:ascii="Times New Roman" w:hAnsi="Times New Roman" w:cs="Times New Roman"/>
          <w:sz w:val="28"/>
          <w:szCs w:val="28"/>
        </w:rPr>
        <w:t xml:space="preserve">, </w:t>
      </w:r>
      <w:r w:rsidR="006844B1">
        <w:rPr>
          <w:rFonts w:ascii="Times New Roman" w:hAnsi="Times New Roman" w:cs="Times New Roman"/>
          <w:sz w:val="28"/>
          <w:szCs w:val="28"/>
        </w:rPr>
        <w:t>которые устранены в установленном порядке.</w:t>
      </w:r>
    </w:p>
    <w:p w:rsidR="002447EF" w:rsidRPr="000A271B" w:rsidRDefault="002C49B9" w:rsidP="00423C6E">
      <w:pPr>
        <w:spacing w:before="12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447EF" w:rsidRPr="000A271B">
        <w:rPr>
          <w:rFonts w:ascii="Times New Roman" w:hAnsi="Times New Roman" w:cs="Times New Roman"/>
          <w:sz w:val="28"/>
          <w:szCs w:val="28"/>
        </w:rPr>
        <w:t xml:space="preserve">В целях выявления и исключения рисков нарушения антимонопольного законодательства, а также проведения анализа о целесообразности (нецелесообразности) внесения изменений в нормативные правовые акты </w:t>
      </w:r>
      <w:r w:rsidR="005517DC">
        <w:rPr>
          <w:rFonts w:ascii="Times New Roman" w:hAnsi="Times New Roman" w:cs="Times New Roman"/>
          <w:sz w:val="28"/>
          <w:szCs w:val="28"/>
        </w:rPr>
        <w:t xml:space="preserve">все проекты нормативных правовых актов, разрабатываемых департаментом, </w:t>
      </w:r>
      <w:r w:rsidR="002447EF">
        <w:rPr>
          <w:rFonts w:ascii="Times New Roman" w:hAnsi="Times New Roman" w:cs="Times New Roman"/>
          <w:sz w:val="28"/>
          <w:szCs w:val="28"/>
        </w:rPr>
        <w:t>размещ</w:t>
      </w:r>
      <w:r w:rsidR="005517DC">
        <w:rPr>
          <w:rFonts w:ascii="Times New Roman" w:hAnsi="Times New Roman" w:cs="Times New Roman"/>
          <w:sz w:val="28"/>
          <w:szCs w:val="28"/>
        </w:rPr>
        <w:t>аются</w:t>
      </w:r>
      <w:r w:rsidR="002447EF">
        <w:rPr>
          <w:rFonts w:ascii="Times New Roman" w:hAnsi="Times New Roman" w:cs="Times New Roman"/>
          <w:sz w:val="28"/>
          <w:szCs w:val="28"/>
        </w:rPr>
        <w:t xml:space="preserve"> на официальном сайте департамента для</w:t>
      </w:r>
      <w:r w:rsidR="002447EF" w:rsidRPr="000A271B">
        <w:rPr>
          <w:rFonts w:ascii="Times New Roman" w:hAnsi="Times New Roman" w:cs="Times New Roman"/>
          <w:sz w:val="28"/>
          <w:szCs w:val="28"/>
        </w:rPr>
        <w:t xml:space="preserve"> сбора замечаний и предложений </w:t>
      </w:r>
      <w:r w:rsidR="002447EF">
        <w:rPr>
          <w:rFonts w:ascii="Times New Roman" w:hAnsi="Times New Roman" w:cs="Times New Roman"/>
          <w:sz w:val="28"/>
          <w:szCs w:val="28"/>
        </w:rPr>
        <w:t xml:space="preserve">от </w:t>
      </w:r>
      <w:r w:rsidR="002447EF" w:rsidRPr="000A271B">
        <w:rPr>
          <w:rFonts w:ascii="Times New Roman" w:hAnsi="Times New Roman" w:cs="Times New Roman"/>
          <w:sz w:val="28"/>
          <w:szCs w:val="28"/>
        </w:rPr>
        <w:t>организаций и граждан.</w:t>
      </w:r>
    </w:p>
    <w:p w:rsidR="002447EF" w:rsidRDefault="002447EF" w:rsidP="00423C6E">
      <w:pPr>
        <w:spacing w:after="0" w:line="276" w:lineRule="auto"/>
        <w:ind w:firstLine="709"/>
        <w:jc w:val="both"/>
        <w:rPr>
          <w:rFonts w:ascii="Times New Roman" w:hAnsi="Times New Roman" w:cs="Times New Roman"/>
          <w:sz w:val="28"/>
          <w:szCs w:val="28"/>
        </w:rPr>
      </w:pPr>
      <w:r w:rsidRPr="000A271B">
        <w:rPr>
          <w:rFonts w:ascii="Times New Roman" w:hAnsi="Times New Roman" w:cs="Times New Roman"/>
          <w:sz w:val="28"/>
          <w:szCs w:val="28"/>
        </w:rPr>
        <w:t xml:space="preserve">В </w:t>
      </w:r>
      <w:r w:rsidR="002C49B9">
        <w:rPr>
          <w:rFonts w:ascii="Times New Roman" w:hAnsi="Times New Roman" w:cs="Times New Roman"/>
          <w:sz w:val="28"/>
          <w:szCs w:val="28"/>
        </w:rPr>
        <w:t>20</w:t>
      </w:r>
      <w:r w:rsidR="005517DC">
        <w:rPr>
          <w:rFonts w:ascii="Times New Roman" w:hAnsi="Times New Roman" w:cs="Times New Roman"/>
          <w:sz w:val="28"/>
          <w:szCs w:val="28"/>
        </w:rPr>
        <w:t>2</w:t>
      </w:r>
      <w:r w:rsidR="00154ABC">
        <w:rPr>
          <w:rFonts w:ascii="Times New Roman" w:hAnsi="Times New Roman" w:cs="Times New Roman"/>
          <w:sz w:val="28"/>
          <w:szCs w:val="28"/>
        </w:rPr>
        <w:t>2</w:t>
      </w:r>
      <w:r w:rsidR="002C49B9">
        <w:rPr>
          <w:rFonts w:ascii="Times New Roman" w:hAnsi="Times New Roman" w:cs="Times New Roman"/>
          <w:sz w:val="28"/>
          <w:szCs w:val="28"/>
        </w:rPr>
        <w:t xml:space="preserve"> году</w:t>
      </w:r>
      <w:r w:rsidRPr="000A271B">
        <w:rPr>
          <w:rFonts w:ascii="Times New Roman" w:hAnsi="Times New Roman" w:cs="Times New Roman"/>
          <w:sz w:val="28"/>
          <w:szCs w:val="28"/>
        </w:rPr>
        <w:t xml:space="preserve"> замечания и предложения от организаций и граждан </w:t>
      </w:r>
      <w:r w:rsidR="006844B1">
        <w:rPr>
          <w:rFonts w:ascii="Times New Roman" w:hAnsi="Times New Roman" w:cs="Times New Roman"/>
          <w:sz w:val="28"/>
          <w:szCs w:val="28"/>
        </w:rPr>
        <w:t xml:space="preserve">к правовым актам департамента </w:t>
      </w:r>
      <w:r w:rsidRPr="000A271B">
        <w:rPr>
          <w:rFonts w:ascii="Times New Roman" w:hAnsi="Times New Roman" w:cs="Times New Roman"/>
          <w:sz w:val="28"/>
          <w:szCs w:val="28"/>
        </w:rPr>
        <w:t>не поступ</w:t>
      </w:r>
      <w:r w:rsidR="002C49B9">
        <w:rPr>
          <w:rFonts w:ascii="Times New Roman" w:hAnsi="Times New Roman" w:cs="Times New Roman"/>
          <w:sz w:val="28"/>
          <w:szCs w:val="28"/>
        </w:rPr>
        <w:t>а</w:t>
      </w:r>
      <w:r w:rsidRPr="000A271B">
        <w:rPr>
          <w:rFonts w:ascii="Times New Roman" w:hAnsi="Times New Roman" w:cs="Times New Roman"/>
          <w:sz w:val="28"/>
          <w:szCs w:val="28"/>
        </w:rPr>
        <w:t>ли.</w:t>
      </w:r>
    </w:p>
    <w:p w:rsidR="004B0544" w:rsidRDefault="004B0544" w:rsidP="00423C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все проекты нормативных правовых актов направляются </w:t>
      </w:r>
      <w:r w:rsidR="00F32501">
        <w:rPr>
          <w:rFonts w:ascii="Times New Roman" w:hAnsi="Times New Roman" w:cs="Times New Roman"/>
          <w:sz w:val="28"/>
          <w:szCs w:val="28"/>
        </w:rPr>
        <w:t>в прокуратуру Воронежской области и Минюст по Воронежской области для проведения экспертизы.</w:t>
      </w:r>
    </w:p>
    <w:p w:rsidR="002C49B9" w:rsidRDefault="002C49B9" w:rsidP="00423C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департаменте систематически проводится анализ судебной практики по направлениям деятельности департамента, по результатам которого разрабатываются рекомендации с целью корректировки принимаемых департаментом решений</w:t>
      </w:r>
      <w:r w:rsidR="00AC21BA">
        <w:rPr>
          <w:rFonts w:ascii="Times New Roman" w:hAnsi="Times New Roman" w:cs="Times New Roman"/>
          <w:sz w:val="28"/>
          <w:szCs w:val="28"/>
        </w:rPr>
        <w:t>.</w:t>
      </w:r>
    </w:p>
    <w:p w:rsidR="00423C6E" w:rsidRPr="00423C6E" w:rsidRDefault="00423C6E" w:rsidP="00423C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423C6E">
        <w:rPr>
          <w:rFonts w:ascii="Times New Roman" w:hAnsi="Times New Roman" w:cs="Times New Roman"/>
          <w:sz w:val="28"/>
          <w:szCs w:val="28"/>
        </w:rPr>
        <w:t>в части анализа судебной практики по делам об оспаривании действий департамента за 202</w:t>
      </w:r>
      <w:r w:rsidR="00E075BE">
        <w:rPr>
          <w:rFonts w:ascii="Times New Roman" w:hAnsi="Times New Roman" w:cs="Times New Roman"/>
          <w:sz w:val="28"/>
          <w:szCs w:val="28"/>
        </w:rPr>
        <w:t>2</w:t>
      </w:r>
      <w:r w:rsidRPr="00423C6E">
        <w:rPr>
          <w:rFonts w:ascii="Times New Roman" w:hAnsi="Times New Roman" w:cs="Times New Roman"/>
          <w:sz w:val="28"/>
          <w:szCs w:val="28"/>
        </w:rPr>
        <w:t xml:space="preserve"> год Арбитражным судом Воронежской области рассмотрены ряд заявлений юридических лиц и индивидуальных предпринимателей о признании отказов департамента в предоставлении земельных участков под объектами недвижимости в связи с несоответствием вида разрешенного использования земельного участка целям</w:t>
      </w:r>
      <w:r>
        <w:rPr>
          <w:rFonts w:ascii="Times New Roman" w:hAnsi="Times New Roman" w:cs="Times New Roman"/>
          <w:sz w:val="28"/>
          <w:szCs w:val="28"/>
        </w:rPr>
        <w:t>,</w:t>
      </w:r>
      <w:r w:rsidRPr="00423C6E">
        <w:rPr>
          <w:rFonts w:ascii="Times New Roman" w:hAnsi="Times New Roman" w:cs="Times New Roman"/>
          <w:sz w:val="28"/>
          <w:szCs w:val="28"/>
        </w:rPr>
        <w:t xml:space="preserve"> указанным в заявлении о предоставлении. В ряде случаев суды отказывали в удовлетворении требований признавая действия департамента законными</w:t>
      </w:r>
      <w:r>
        <w:rPr>
          <w:rFonts w:ascii="Times New Roman" w:hAnsi="Times New Roman" w:cs="Times New Roman"/>
          <w:sz w:val="28"/>
          <w:szCs w:val="28"/>
        </w:rPr>
        <w:t>.</w:t>
      </w:r>
      <w:r w:rsidRPr="00423C6E">
        <w:rPr>
          <w:rFonts w:ascii="Times New Roman" w:hAnsi="Times New Roman" w:cs="Times New Roman"/>
          <w:sz w:val="28"/>
          <w:szCs w:val="28"/>
        </w:rPr>
        <w:t xml:space="preserve"> </w:t>
      </w:r>
    </w:p>
    <w:p w:rsidR="00423C6E" w:rsidRPr="00423C6E" w:rsidRDefault="00423C6E" w:rsidP="00423C6E">
      <w:pPr>
        <w:spacing w:after="0" w:line="276" w:lineRule="auto"/>
        <w:ind w:firstLine="709"/>
        <w:jc w:val="both"/>
        <w:rPr>
          <w:rFonts w:ascii="Times New Roman" w:hAnsi="Times New Roman" w:cs="Times New Roman"/>
          <w:sz w:val="28"/>
          <w:szCs w:val="28"/>
        </w:rPr>
      </w:pPr>
      <w:r w:rsidRPr="00423C6E">
        <w:rPr>
          <w:rFonts w:ascii="Times New Roman" w:hAnsi="Times New Roman" w:cs="Times New Roman"/>
          <w:sz w:val="28"/>
          <w:szCs w:val="28"/>
        </w:rPr>
        <w:t xml:space="preserve">Ряд решений департамента об отказе в перераспределении земельного участка, утверждении схемы земельного участка, предоставлении земельного участка связаны с отсутствием (наличием) на земельном участке объектов недвижимости. Поскольку отнесение того или иного объекта к недвижимому имуществу является оценочной категорией во взаимосвязи с результатами строительной экспертизы, то зачастую указанные факты могут быть установлены </w:t>
      </w:r>
      <w:r w:rsidRPr="00423C6E">
        <w:rPr>
          <w:rFonts w:ascii="Times New Roman" w:hAnsi="Times New Roman" w:cs="Times New Roman"/>
          <w:sz w:val="28"/>
          <w:szCs w:val="28"/>
        </w:rPr>
        <w:lastRenderedPageBreak/>
        <w:t xml:space="preserve">только в судебном порядке, что приводит в ряде случаев к признанию принятых решений департамента незаконными. </w:t>
      </w:r>
    </w:p>
    <w:p w:rsidR="00F32501" w:rsidRDefault="00F32501" w:rsidP="00F32501">
      <w:pPr>
        <w:spacing w:before="12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 В целях повышения прозрачности деятельности департамента все государственные услуги, оказываемые департаментом (2</w:t>
      </w:r>
      <w:r w:rsidR="003D02FA">
        <w:rPr>
          <w:rFonts w:ascii="Times New Roman" w:hAnsi="Times New Roman" w:cs="Times New Roman"/>
          <w:sz w:val="28"/>
          <w:szCs w:val="28"/>
        </w:rPr>
        <w:t>1</w:t>
      </w:r>
      <w:r>
        <w:rPr>
          <w:rFonts w:ascii="Times New Roman" w:hAnsi="Times New Roman" w:cs="Times New Roman"/>
          <w:sz w:val="28"/>
          <w:szCs w:val="28"/>
        </w:rPr>
        <w:t xml:space="preserve"> государственн</w:t>
      </w:r>
      <w:r w:rsidR="003D02FA">
        <w:rPr>
          <w:rFonts w:ascii="Times New Roman" w:hAnsi="Times New Roman" w:cs="Times New Roman"/>
          <w:sz w:val="28"/>
          <w:szCs w:val="28"/>
        </w:rPr>
        <w:t>ая</w:t>
      </w:r>
      <w:r>
        <w:rPr>
          <w:rFonts w:ascii="Times New Roman" w:hAnsi="Times New Roman" w:cs="Times New Roman"/>
          <w:sz w:val="28"/>
          <w:szCs w:val="28"/>
        </w:rPr>
        <w:t xml:space="preserve"> услуг</w:t>
      </w:r>
      <w:r w:rsidR="003D02FA">
        <w:rPr>
          <w:rFonts w:ascii="Times New Roman" w:hAnsi="Times New Roman" w:cs="Times New Roman"/>
          <w:sz w:val="28"/>
          <w:szCs w:val="28"/>
        </w:rPr>
        <w:t>а</w:t>
      </w:r>
      <w:r>
        <w:rPr>
          <w:rFonts w:ascii="Times New Roman" w:hAnsi="Times New Roman" w:cs="Times New Roman"/>
          <w:sz w:val="28"/>
          <w:szCs w:val="28"/>
        </w:rPr>
        <w:t>), регламентированы. Также по всем услугам предусмотрена возможность получения их в электронном виде.</w:t>
      </w:r>
    </w:p>
    <w:p w:rsidR="006844B1" w:rsidRDefault="00F32501" w:rsidP="00F32501">
      <w:pPr>
        <w:spacing w:before="12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44B1">
        <w:rPr>
          <w:rFonts w:ascii="Times New Roman" w:hAnsi="Times New Roman" w:cs="Times New Roman"/>
          <w:sz w:val="28"/>
          <w:szCs w:val="28"/>
        </w:rPr>
        <w:t xml:space="preserve">. </w:t>
      </w:r>
      <w:r w:rsidR="002B074C">
        <w:rPr>
          <w:rFonts w:ascii="Times New Roman" w:hAnsi="Times New Roman" w:cs="Times New Roman"/>
          <w:sz w:val="28"/>
          <w:szCs w:val="28"/>
        </w:rPr>
        <w:t>В целях выявления возможных рисков нарушения антимонопольного законодательства д</w:t>
      </w:r>
      <w:r w:rsidR="006844B1">
        <w:rPr>
          <w:rFonts w:ascii="Times New Roman" w:hAnsi="Times New Roman" w:cs="Times New Roman"/>
          <w:sz w:val="28"/>
          <w:szCs w:val="28"/>
        </w:rPr>
        <w:t xml:space="preserve">епартаментом </w:t>
      </w:r>
      <w:r w:rsidR="005517DC">
        <w:rPr>
          <w:rFonts w:ascii="Times New Roman" w:hAnsi="Times New Roman" w:cs="Times New Roman"/>
          <w:sz w:val="28"/>
          <w:szCs w:val="28"/>
        </w:rPr>
        <w:t xml:space="preserve">постоянно </w:t>
      </w:r>
      <w:r w:rsidR="006844B1">
        <w:rPr>
          <w:rFonts w:ascii="Times New Roman" w:hAnsi="Times New Roman" w:cs="Times New Roman"/>
          <w:sz w:val="28"/>
          <w:szCs w:val="28"/>
        </w:rPr>
        <w:t>пров</w:t>
      </w:r>
      <w:r w:rsidR="005517DC">
        <w:rPr>
          <w:rFonts w:ascii="Times New Roman" w:hAnsi="Times New Roman" w:cs="Times New Roman"/>
          <w:sz w:val="28"/>
          <w:szCs w:val="28"/>
        </w:rPr>
        <w:t>одится</w:t>
      </w:r>
      <w:r w:rsidR="006844B1">
        <w:rPr>
          <w:rFonts w:ascii="Times New Roman" w:hAnsi="Times New Roman" w:cs="Times New Roman"/>
          <w:sz w:val="28"/>
          <w:szCs w:val="28"/>
        </w:rPr>
        <w:t xml:space="preserve"> анализ </w:t>
      </w:r>
      <w:r w:rsidR="002B074C">
        <w:rPr>
          <w:rFonts w:ascii="Times New Roman" w:hAnsi="Times New Roman" w:cs="Times New Roman"/>
          <w:sz w:val="28"/>
          <w:szCs w:val="28"/>
        </w:rPr>
        <w:t>актов</w:t>
      </w:r>
      <w:r w:rsidR="0032312F">
        <w:rPr>
          <w:rFonts w:ascii="Times New Roman" w:hAnsi="Times New Roman" w:cs="Times New Roman"/>
          <w:sz w:val="28"/>
          <w:szCs w:val="28"/>
        </w:rPr>
        <w:t xml:space="preserve"> контролирующих и проверяющих органов, составленных по результатам проведенных проверок</w:t>
      </w:r>
      <w:r w:rsidR="002B074C">
        <w:rPr>
          <w:rFonts w:ascii="Times New Roman" w:hAnsi="Times New Roman" w:cs="Times New Roman"/>
          <w:sz w:val="28"/>
          <w:szCs w:val="28"/>
        </w:rPr>
        <w:t xml:space="preserve"> в отношении департамента. По результатам анализа выявленные возможные риски были включены в карту </w:t>
      </w:r>
      <w:proofErr w:type="spellStart"/>
      <w:r w:rsidR="002B074C">
        <w:rPr>
          <w:rFonts w:ascii="Times New Roman" w:hAnsi="Times New Roman" w:cs="Times New Roman"/>
          <w:sz w:val="28"/>
          <w:szCs w:val="28"/>
        </w:rPr>
        <w:t>комплаенс</w:t>
      </w:r>
      <w:proofErr w:type="spellEnd"/>
      <w:r w:rsidR="002B074C">
        <w:rPr>
          <w:rFonts w:ascii="Times New Roman" w:hAnsi="Times New Roman" w:cs="Times New Roman"/>
          <w:sz w:val="28"/>
          <w:szCs w:val="28"/>
        </w:rPr>
        <w:t>-рисков.</w:t>
      </w:r>
    </w:p>
    <w:p w:rsidR="00F32501" w:rsidRPr="00F32501" w:rsidRDefault="00F32501" w:rsidP="00F32501">
      <w:pPr>
        <w:spacing w:after="0" w:line="276" w:lineRule="auto"/>
        <w:ind w:firstLine="709"/>
        <w:jc w:val="both"/>
        <w:rPr>
          <w:rFonts w:ascii="Times New Roman" w:hAnsi="Times New Roman" w:cs="Times New Roman"/>
          <w:sz w:val="28"/>
          <w:szCs w:val="28"/>
        </w:rPr>
      </w:pPr>
      <w:r w:rsidRPr="00F32501">
        <w:rPr>
          <w:rFonts w:ascii="Times New Roman" w:hAnsi="Times New Roman" w:cs="Times New Roman"/>
          <w:sz w:val="28"/>
          <w:szCs w:val="28"/>
        </w:rPr>
        <w:t>В 202</w:t>
      </w:r>
      <w:r w:rsidR="003D02FA">
        <w:rPr>
          <w:rFonts w:ascii="Times New Roman" w:hAnsi="Times New Roman" w:cs="Times New Roman"/>
          <w:sz w:val="28"/>
          <w:szCs w:val="28"/>
        </w:rPr>
        <w:t>2</w:t>
      </w:r>
      <w:r w:rsidRPr="00F32501">
        <w:rPr>
          <w:rFonts w:ascii="Times New Roman" w:hAnsi="Times New Roman" w:cs="Times New Roman"/>
          <w:sz w:val="28"/>
          <w:szCs w:val="28"/>
        </w:rPr>
        <w:t xml:space="preserve"> году антимонопольные органы проверку деятельности департамента не осуществляли. </w:t>
      </w:r>
    </w:p>
    <w:p w:rsidR="00F32501" w:rsidRPr="00F32501" w:rsidRDefault="00F32501" w:rsidP="00F32501">
      <w:pPr>
        <w:spacing w:after="0" w:line="276" w:lineRule="auto"/>
        <w:ind w:firstLine="709"/>
        <w:jc w:val="both"/>
        <w:rPr>
          <w:rFonts w:ascii="Times New Roman" w:hAnsi="Times New Roman" w:cs="Times New Roman"/>
          <w:sz w:val="28"/>
          <w:szCs w:val="28"/>
        </w:rPr>
      </w:pPr>
      <w:r w:rsidRPr="00F32501">
        <w:rPr>
          <w:rFonts w:ascii="Times New Roman" w:hAnsi="Times New Roman" w:cs="Times New Roman"/>
          <w:sz w:val="28"/>
          <w:szCs w:val="28"/>
        </w:rPr>
        <w:t>Предостережений, предупреждений от антимонопольного органа в департамент не поступало.</w:t>
      </w:r>
    </w:p>
    <w:p w:rsidR="00F27C1B" w:rsidRDefault="00F32501" w:rsidP="00F27C1B">
      <w:pPr>
        <w:spacing w:before="12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27C1B">
        <w:rPr>
          <w:rFonts w:ascii="Times New Roman" w:hAnsi="Times New Roman" w:cs="Times New Roman"/>
          <w:sz w:val="28"/>
          <w:szCs w:val="28"/>
        </w:rPr>
        <w:t>В 202</w:t>
      </w:r>
      <w:r w:rsidR="00316017">
        <w:rPr>
          <w:rFonts w:ascii="Times New Roman" w:hAnsi="Times New Roman" w:cs="Times New Roman"/>
          <w:sz w:val="28"/>
          <w:szCs w:val="28"/>
        </w:rPr>
        <w:t>2</w:t>
      </w:r>
      <w:r w:rsidR="00F27C1B">
        <w:rPr>
          <w:rFonts w:ascii="Times New Roman" w:hAnsi="Times New Roman" w:cs="Times New Roman"/>
          <w:sz w:val="28"/>
          <w:szCs w:val="28"/>
        </w:rPr>
        <w:t xml:space="preserve"> году </w:t>
      </w:r>
      <w:r w:rsidR="00316017">
        <w:rPr>
          <w:rFonts w:ascii="Times New Roman" w:hAnsi="Times New Roman" w:cs="Times New Roman"/>
          <w:sz w:val="28"/>
          <w:szCs w:val="28"/>
        </w:rPr>
        <w:t>6</w:t>
      </w:r>
      <w:r w:rsidR="007F1458">
        <w:rPr>
          <w:rFonts w:ascii="Times New Roman" w:hAnsi="Times New Roman" w:cs="Times New Roman"/>
          <w:sz w:val="28"/>
          <w:szCs w:val="28"/>
        </w:rPr>
        <w:t xml:space="preserve"> сотрудник</w:t>
      </w:r>
      <w:r w:rsidR="00316017">
        <w:rPr>
          <w:rFonts w:ascii="Times New Roman" w:hAnsi="Times New Roman" w:cs="Times New Roman"/>
          <w:sz w:val="28"/>
          <w:szCs w:val="28"/>
        </w:rPr>
        <w:t>ов</w:t>
      </w:r>
      <w:r w:rsidR="00F27C1B">
        <w:rPr>
          <w:rFonts w:ascii="Times New Roman" w:hAnsi="Times New Roman" w:cs="Times New Roman"/>
          <w:sz w:val="28"/>
          <w:szCs w:val="28"/>
        </w:rPr>
        <w:t xml:space="preserve"> департамента прош</w:t>
      </w:r>
      <w:r w:rsidR="00316017">
        <w:rPr>
          <w:rFonts w:ascii="Times New Roman" w:hAnsi="Times New Roman" w:cs="Times New Roman"/>
          <w:sz w:val="28"/>
          <w:szCs w:val="28"/>
        </w:rPr>
        <w:t>ли</w:t>
      </w:r>
      <w:r w:rsidR="00F27C1B">
        <w:rPr>
          <w:rFonts w:ascii="Times New Roman" w:hAnsi="Times New Roman" w:cs="Times New Roman"/>
          <w:sz w:val="28"/>
          <w:szCs w:val="28"/>
        </w:rPr>
        <w:t xml:space="preserve"> повышение квалификации в </w:t>
      </w:r>
      <w:r w:rsidR="00F27C1B" w:rsidRPr="00047BD2">
        <w:rPr>
          <w:rFonts w:ascii="Times New Roman" w:hAnsi="Times New Roman" w:cs="Times New Roman"/>
          <w:sz w:val="28"/>
          <w:szCs w:val="28"/>
        </w:rPr>
        <w:t>сфере закупок товаров, работ, услуг для обеспечения государственных и муниципальных нужд</w:t>
      </w:r>
      <w:r w:rsidR="00F27C1B">
        <w:rPr>
          <w:rFonts w:ascii="Times New Roman" w:hAnsi="Times New Roman" w:cs="Times New Roman"/>
          <w:sz w:val="28"/>
          <w:szCs w:val="28"/>
        </w:rPr>
        <w:t>.</w:t>
      </w:r>
    </w:p>
    <w:p w:rsidR="00423C6E" w:rsidRDefault="00423C6E" w:rsidP="00EE5D05">
      <w:pPr>
        <w:spacing w:after="0" w:line="276" w:lineRule="auto"/>
        <w:ind w:firstLine="709"/>
        <w:jc w:val="both"/>
        <w:rPr>
          <w:rFonts w:ascii="Times New Roman" w:hAnsi="Times New Roman" w:cs="Times New Roman"/>
          <w:sz w:val="28"/>
          <w:szCs w:val="28"/>
        </w:rPr>
      </w:pPr>
    </w:p>
    <w:p w:rsidR="001D03C8" w:rsidRDefault="007C32D4" w:rsidP="00EE5D0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по итогам 20</w:t>
      </w:r>
      <w:r w:rsidR="004950D2">
        <w:rPr>
          <w:rFonts w:ascii="Times New Roman" w:hAnsi="Times New Roman" w:cs="Times New Roman"/>
          <w:sz w:val="28"/>
          <w:szCs w:val="28"/>
        </w:rPr>
        <w:t>2</w:t>
      </w:r>
      <w:r w:rsidR="00E075BE">
        <w:rPr>
          <w:rFonts w:ascii="Times New Roman" w:hAnsi="Times New Roman" w:cs="Times New Roman"/>
          <w:sz w:val="28"/>
          <w:szCs w:val="28"/>
        </w:rPr>
        <w:t>2</w:t>
      </w:r>
      <w:r>
        <w:rPr>
          <w:rFonts w:ascii="Times New Roman" w:hAnsi="Times New Roman" w:cs="Times New Roman"/>
          <w:sz w:val="28"/>
          <w:szCs w:val="28"/>
        </w:rPr>
        <w:t xml:space="preserve"> года п</w:t>
      </w:r>
      <w:r w:rsidR="00D246BB" w:rsidRPr="000A271B">
        <w:rPr>
          <w:rFonts w:ascii="Times New Roman" w:hAnsi="Times New Roman" w:cs="Times New Roman"/>
          <w:sz w:val="28"/>
          <w:szCs w:val="28"/>
        </w:rPr>
        <w:t xml:space="preserve">роведен расчёт ключевых показателей оценки эффективности антимонопольного </w:t>
      </w:r>
      <w:proofErr w:type="spellStart"/>
      <w:r w:rsidR="00D246BB" w:rsidRPr="000A271B">
        <w:rPr>
          <w:rFonts w:ascii="Times New Roman" w:hAnsi="Times New Roman" w:cs="Times New Roman"/>
          <w:sz w:val="28"/>
          <w:szCs w:val="28"/>
        </w:rPr>
        <w:t>комплаенса</w:t>
      </w:r>
      <w:proofErr w:type="spellEnd"/>
      <w:r w:rsidR="001D03C8">
        <w:rPr>
          <w:rFonts w:ascii="Times New Roman" w:hAnsi="Times New Roman" w:cs="Times New Roman"/>
          <w:sz w:val="28"/>
          <w:szCs w:val="28"/>
        </w:rPr>
        <w:t>:</w:t>
      </w:r>
    </w:p>
    <w:p w:rsidR="001D03C8" w:rsidRPr="001D03C8" w:rsidRDefault="001D03C8"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D03C8">
        <w:rPr>
          <w:rFonts w:ascii="Times New Roman" w:hAnsi="Times New Roman" w:cs="Times New Roman"/>
          <w:sz w:val="28"/>
          <w:szCs w:val="28"/>
        </w:rPr>
        <w:t>оэффициент снижения количества нарушений антимонопольного законодательства со стороны департамента имущественных и земельных отношений Воронежской области относительно уровня 2017 года</w:t>
      </w:r>
      <w:r>
        <w:rPr>
          <w:rFonts w:ascii="Times New Roman" w:hAnsi="Times New Roman" w:cs="Times New Roman"/>
          <w:sz w:val="28"/>
          <w:szCs w:val="28"/>
        </w:rPr>
        <w:t>;</w:t>
      </w:r>
      <w:r w:rsidRPr="001D03C8">
        <w:rPr>
          <w:rFonts w:ascii="Times New Roman" w:hAnsi="Times New Roman" w:cs="Times New Roman"/>
          <w:sz w:val="28"/>
          <w:szCs w:val="28"/>
        </w:rPr>
        <w:t xml:space="preserve"> </w:t>
      </w:r>
    </w:p>
    <w:p w:rsidR="001D03C8" w:rsidRPr="001D03C8" w:rsidRDefault="001D03C8"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1D03C8">
        <w:rPr>
          <w:rFonts w:ascii="Times New Roman" w:hAnsi="Times New Roman" w:cs="Times New Roman"/>
          <w:sz w:val="28"/>
          <w:szCs w:val="28"/>
        </w:rPr>
        <w:t>оля проектов нормативных правовых актов департамента имущественных и земельных отношений Воронежской области, в которых выявлены риски нарушения антимонопольного законодательства</w:t>
      </w:r>
      <w:r>
        <w:rPr>
          <w:rFonts w:ascii="Times New Roman" w:hAnsi="Times New Roman" w:cs="Times New Roman"/>
          <w:sz w:val="28"/>
          <w:szCs w:val="28"/>
        </w:rPr>
        <w:t>;</w:t>
      </w:r>
    </w:p>
    <w:p w:rsidR="001D03C8" w:rsidRPr="001D03C8" w:rsidRDefault="001D03C8"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1D03C8">
        <w:rPr>
          <w:rFonts w:ascii="Times New Roman" w:hAnsi="Times New Roman" w:cs="Times New Roman"/>
          <w:sz w:val="28"/>
          <w:szCs w:val="28"/>
        </w:rPr>
        <w:t>оля нормативных правовых актов департамента имущественных и земельных отношений Воронежской области, в которых выявлены риски нарушения антимонопольного законодательства</w:t>
      </w:r>
      <w:r>
        <w:rPr>
          <w:rFonts w:ascii="Times New Roman" w:hAnsi="Times New Roman" w:cs="Times New Roman"/>
          <w:sz w:val="28"/>
          <w:szCs w:val="28"/>
        </w:rPr>
        <w:t>;</w:t>
      </w:r>
    </w:p>
    <w:p w:rsidR="001D03C8" w:rsidRPr="001D03C8" w:rsidRDefault="001D03C8" w:rsidP="001D03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1D03C8">
        <w:rPr>
          <w:rFonts w:ascii="Times New Roman" w:hAnsi="Times New Roman" w:cs="Times New Roman"/>
          <w:sz w:val="28"/>
          <w:szCs w:val="28"/>
        </w:rPr>
        <w:t xml:space="preserve">оля сотрудников департамента имущественных и земельных отношений Воронежской области, в отношении которых были проведены обучающие мероприятия по антимонопольному законодательству и антимонопольному </w:t>
      </w:r>
      <w:proofErr w:type="spellStart"/>
      <w:r w:rsidRPr="001D03C8">
        <w:rPr>
          <w:rFonts w:ascii="Times New Roman" w:hAnsi="Times New Roman" w:cs="Times New Roman"/>
          <w:sz w:val="28"/>
          <w:szCs w:val="28"/>
        </w:rPr>
        <w:t>комплаенсу</w:t>
      </w:r>
      <w:proofErr w:type="spellEnd"/>
      <w:r>
        <w:rPr>
          <w:rFonts w:ascii="Times New Roman" w:hAnsi="Times New Roman" w:cs="Times New Roman"/>
          <w:sz w:val="28"/>
          <w:szCs w:val="28"/>
        </w:rPr>
        <w:t>.</w:t>
      </w:r>
    </w:p>
    <w:p w:rsidR="00D75ED7" w:rsidRDefault="001D03C8" w:rsidP="00D75ED7">
      <w:pPr>
        <w:spacing w:line="276" w:lineRule="auto"/>
        <w:ind w:firstLine="709"/>
        <w:jc w:val="both"/>
        <w:rPr>
          <w:rFonts w:ascii="Times New Roman" w:hAnsi="Times New Roman" w:cs="Times New Roman"/>
          <w:sz w:val="28"/>
          <w:szCs w:val="28"/>
        </w:rPr>
      </w:pPr>
      <w:r w:rsidRPr="000A271B">
        <w:rPr>
          <w:rFonts w:ascii="Times New Roman" w:hAnsi="Times New Roman" w:cs="Times New Roman"/>
          <w:sz w:val="28"/>
          <w:szCs w:val="28"/>
        </w:rPr>
        <w:t>Расчёт пров</w:t>
      </w:r>
      <w:r w:rsidR="00D75ED7">
        <w:rPr>
          <w:rFonts w:ascii="Times New Roman" w:hAnsi="Times New Roman" w:cs="Times New Roman"/>
          <w:sz w:val="28"/>
          <w:szCs w:val="28"/>
        </w:rPr>
        <w:t>одился</w:t>
      </w:r>
      <w:r w:rsidRPr="000A271B">
        <w:rPr>
          <w:rFonts w:ascii="Times New Roman" w:hAnsi="Times New Roman" w:cs="Times New Roman"/>
          <w:sz w:val="28"/>
          <w:szCs w:val="28"/>
        </w:rPr>
        <w:t xml:space="preserve"> в соответствии с методикой расчёта ключевых показателей эффективности функционирования в федеральном органе исполнительной власти антимонопольного </w:t>
      </w:r>
      <w:proofErr w:type="spellStart"/>
      <w:r w:rsidRPr="000A271B">
        <w:rPr>
          <w:rFonts w:ascii="Times New Roman" w:hAnsi="Times New Roman" w:cs="Times New Roman"/>
          <w:sz w:val="28"/>
          <w:szCs w:val="28"/>
        </w:rPr>
        <w:t>комплаенса</w:t>
      </w:r>
      <w:proofErr w:type="spellEnd"/>
      <w:r w:rsidRPr="000A271B">
        <w:rPr>
          <w:rFonts w:ascii="Times New Roman" w:hAnsi="Times New Roman" w:cs="Times New Roman"/>
          <w:sz w:val="28"/>
          <w:szCs w:val="28"/>
        </w:rPr>
        <w:t xml:space="preserve">, утвержденной приказом ФАС России от 05.02.2019 № 133/19. </w:t>
      </w:r>
    </w:p>
    <w:p w:rsidR="00D75ED7" w:rsidRDefault="00D75ED7" w:rsidP="00D75ED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Плановые значения указанных показателей по итогам 20</w:t>
      </w:r>
      <w:r w:rsidR="004950D2">
        <w:rPr>
          <w:rFonts w:ascii="Times New Roman" w:hAnsi="Times New Roman" w:cs="Times New Roman"/>
          <w:sz w:val="28"/>
          <w:szCs w:val="28"/>
        </w:rPr>
        <w:t>2</w:t>
      </w:r>
      <w:r w:rsidR="007D2C73">
        <w:rPr>
          <w:rFonts w:ascii="Times New Roman" w:hAnsi="Times New Roman" w:cs="Times New Roman"/>
          <w:sz w:val="28"/>
          <w:szCs w:val="28"/>
        </w:rPr>
        <w:t>2</w:t>
      </w:r>
      <w:r w:rsidR="007F1458">
        <w:rPr>
          <w:rFonts w:ascii="Times New Roman" w:hAnsi="Times New Roman" w:cs="Times New Roman"/>
          <w:sz w:val="28"/>
          <w:szCs w:val="28"/>
        </w:rPr>
        <w:t xml:space="preserve"> </w:t>
      </w:r>
      <w:r>
        <w:rPr>
          <w:rFonts w:ascii="Times New Roman" w:hAnsi="Times New Roman" w:cs="Times New Roman"/>
          <w:sz w:val="28"/>
          <w:szCs w:val="28"/>
        </w:rPr>
        <w:t>года достигнуты в полном объеме</w:t>
      </w:r>
      <w:r w:rsidR="00F83128">
        <w:rPr>
          <w:rFonts w:ascii="Times New Roman" w:hAnsi="Times New Roman" w:cs="Times New Roman"/>
          <w:sz w:val="28"/>
          <w:szCs w:val="28"/>
        </w:rPr>
        <w:t xml:space="preserve"> (приложение 2)</w:t>
      </w:r>
      <w:r>
        <w:rPr>
          <w:rFonts w:ascii="Times New Roman" w:hAnsi="Times New Roman" w:cs="Times New Roman"/>
          <w:sz w:val="28"/>
          <w:szCs w:val="28"/>
        </w:rPr>
        <w:t>.</w:t>
      </w:r>
    </w:p>
    <w:p w:rsidR="00F73637" w:rsidRDefault="006C3F2D" w:rsidP="00EE5D0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д</w:t>
      </w:r>
      <w:r w:rsidR="00D246BB" w:rsidRPr="000A271B">
        <w:rPr>
          <w:rFonts w:ascii="Times New Roman" w:hAnsi="Times New Roman" w:cs="Times New Roman"/>
          <w:sz w:val="28"/>
          <w:szCs w:val="28"/>
        </w:rPr>
        <w:t xml:space="preserve">оклад </w:t>
      </w:r>
      <w:r w:rsidRPr="000A271B">
        <w:rPr>
          <w:rFonts w:ascii="Times New Roman" w:hAnsi="Times New Roman" w:cs="Times New Roman"/>
          <w:sz w:val="28"/>
          <w:szCs w:val="28"/>
        </w:rPr>
        <w:t xml:space="preserve">представляется </w:t>
      </w:r>
      <w:r w:rsidR="00D246BB" w:rsidRPr="000A271B">
        <w:rPr>
          <w:rFonts w:ascii="Times New Roman" w:hAnsi="Times New Roman" w:cs="Times New Roman"/>
          <w:sz w:val="28"/>
          <w:szCs w:val="28"/>
        </w:rPr>
        <w:t xml:space="preserve">на утверждение в Общественный совет при </w:t>
      </w:r>
      <w:r>
        <w:rPr>
          <w:rFonts w:ascii="Times New Roman" w:hAnsi="Times New Roman" w:cs="Times New Roman"/>
          <w:sz w:val="28"/>
          <w:szCs w:val="28"/>
        </w:rPr>
        <w:t>департаменте.</w:t>
      </w:r>
    </w:p>
    <w:p w:rsidR="00F73637" w:rsidRDefault="00F73637" w:rsidP="00F73637">
      <w:pPr>
        <w:ind w:firstLine="709"/>
        <w:jc w:val="right"/>
        <w:rPr>
          <w:rFonts w:ascii="Times New Roman" w:hAnsi="Times New Roman" w:cs="Times New Roman"/>
          <w:b/>
          <w:sz w:val="28"/>
          <w:szCs w:val="28"/>
        </w:rPr>
        <w:sectPr w:rsidR="00F73637" w:rsidSect="005252F1">
          <w:headerReference w:type="default" r:id="rId7"/>
          <w:pgSz w:w="11907" w:h="16839" w:code="9"/>
          <w:pgMar w:top="567" w:right="567" w:bottom="851" w:left="1560" w:header="709" w:footer="709" w:gutter="0"/>
          <w:cols w:space="708"/>
          <w:titlePg/>
          <w:docGrid w:linePitch="360"/>
        </w:sectPr>
      </w:pPr>
    </w:p>
    <w:p w:rsidR="00652516" w:rsidRPr="00652516" w:rsidRDefault="00652516" w:rsidP="00652516">
      <w:pPr>
        <w:spacing w:after="0"/>
        <w:jc w:val="right"/>
        <w:rPr>
          <w:rFonts w:ascii="Times New Roman" w:hAnsi="Times New Roman" w:cs="Times New Roman"/>
          <w:sz w:val="28"/>
          <w:szCs w:val="28"/>
        </w:rPr>
      </w:pPr>
      <w:r w:rsidRPr="00652516">
        <w:rPr>
          <w:rFonts w:ascii="Times New Roman" w:hAnsi="Times New Roman" w:cs="Times New Roman"/>
          <w:sz w:val="28"/>
          <w:szCs w:val="28"/>
        </w:rPr>
        <w:lastRenderedPageBreak/>
        <w:t>Приложение 1</w:t>
      </w:r>
    </w:p>
    <w:p w:rsidR="00F73637" w:rsidRPr="00F73637" w:rsidRDefault="00F73637" w:rsidP="00F73637">
      <w:pPr>
        <w:spacing w:after="0"/>
        <w:jc w:val="center"/>
        <w:rPr>
          <w:rFonts w:ascii="Times New Roman" w:hAnsi="Times New Roman" w:cs="Times New Roman"/>
          <w:b/>
          <w:sz w:val="28"/>
          <w:szCs w:val="28"/>
        </w:rPr>
      </w:pPr>
      <w:r w:rsidRPr="00F73637">
        <w:rPr>
          <w:rFonts w:ascii="Times New Roman" w:hAnsi="Times New Roman" w:cs="Times New Roman"/>
          <w:b/>
          <w:sz w:val="28"/>
          <w:szCs w:val="28"/>
        </w:rPr>
        <w:t xml:space="preserve">Карта </w:t>
      </w:r>
      <w:proofErr w:type="spellStart"/>
      <w:r w:rsidRPr="00F73637">
        <w:rPr>
          <w:rFonts w:ascii="Times New Roman" w:hAnsi="Times New Roman" w:cs="Times New Roman"/>
          <w:b/>
          <w:sz w:val="28"/>
          <w:szCs w:val="28"/>
        </w:rPr>
        <w:t>комплаенс</w:t>
      </w:r>
      <w:proofErr w:type="spellEnd"/>
      <w:r w:rsidRPr="00F73637">
        <w:rPr>
          <w:rFonts w:ascii="Times New Roman" w:hAnsi="Times New Roman" w:cs="Times New Roman"/>
          <w:b/>
          <w:sz w:val="28"/>
          <w:szCs w:val="28"/>
        </w:rPr>
        <w:t>-рисков</w:t>
      </w:r>
    </w:p>
    <w:p w:rsidR="00F73637" w:rsidRDefault="00F73637" w:rsidP="00F73637">
      <w:pPr>
        <w:spacing w:after="0"/>
        <w:jc w:val="center"/>
        <w:rPr>
          <w:rFonts w:ascii="Times New Roman" w:hAnsi="Times New Roman" w:cs="Times New Roman"/>
          <w:b/>
          <w:sz w:val="28"/>
          <w:szCs w:val="28"/>
        </w:rPr>
      </w:pPr>
      <w:r w:rsidRPr="00F73637">
        <w:rPr>
          <w:rFonts w:ascii="Times New Roman" w:hAnsi="Times New Roman" w:cs="Times New Roman"/>
          <w:b/>
          <w:sz w:val="28"/>
          <w:szCs w:val="28"/>
        </w:rPr>
        <w:t>департамента имущественных и земельных отношений Воронежской области</w:t>
      </w:r>
    </w:p>
    <w:p w:rsidR="00F73637" w:rsidRPr="00F73637" w:rsidRDefault="00F73637" w:rsidP="00F73637">
      <w:pPr>
        <w:spacing w:after="0"/>
        <w:jc w:val="center"/>
        <w:rPr>
          <w:rFonts w:ascii="Times New Roman" w:hAnsi="Times New Roman" w:cs="Times New Roman"/>
          <w:b/>
          <w:sz w:val="28"/>
          <w:szCs w:val="28"/>
        </w:rPr>
      </w:pPr>
    </w:p>
    <w:tbl>
      <w:tblPr>
        <w:tblStyle w:val="a3"/>
        <w:tblW w:w="15338" w:type="dxa"/>
        <w:tblInd w:w="-459" w:type="dxa"/>
        <w:tblLayout w:type="fixed"/>
        <w:tblLook w:val="04A0" w:firstRow="1" w:lastRow="0" w:firstColumn="1" w:lastColumn="0" w:noHBand="0" w:noVBand="1"/>
      </w:tblPr>
      <w:tblGrid>
        <w:gridCol w:w="2229"/>
        <w:gridCol w:w="5993"/>
        <w:gridCol w:w="3572"/>
        <w:gridCol w:w="3544"/>
      </w:tblGrid>
      <w:tr w:rsidR="00F73637" w:rsidRPr="00F73637" w:rsidTr="00BA5ED2">
        <w:tc>
          <w:tcPr>
            <w:tcW w:w="2229"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Уровень риска</w:t>
            </w:r>
          </w:p>
        </w:tc>
        <w:tc>
          <w:tcPr>
            <w:tcW w:w="5993"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Функции и полномочия</w:t>
            </w:r>
          </w:p>
        </w:tc>
        <w:tc>
          <w:tcPr>
            <w:tcW w:w="3572"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Возможные риски нарушения антимонопольного законодательства</w:t>
            </w:r>
          </w:p>
        </w:tc>
        <w:tc>
          <w:tcPr>
            <w:tcW w:w="3544"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Причины (условия) возникновения риска</w:t>
            </w:r>
          </w:p>
        </w:tc>
      </w:tr>
      <w:tr w:rsidR="00F73637" w:rsidRPr="00F73637" w:rsidTr="00BA5ED2">
        <w:tc>
          <w:tcPr>
            <w:tcW w:w="2229"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высокий</w:t>
            </w:r>
          </w:p>
        </w:tc>
        <w:tc>
          <w:tcPr>
            <w:tcW w:w="5993" w:type="dxa"/>
          </w:tcPr>
          <w:p w:rsidR="00F73637" w:rsidRPr="007F1458" w:rsidRDefault="00F73637" w:rsidP="00F85635">
            <w:pPr>
              <w:spacing w:after="160" w:line="259" w:lineRule="auto"/>
              <w:rPr>
                <w:rFonts w:ascii="Times New Roman" w:hAnsi="Times New Roman" w:cs="Times New Roman"/>
                <w:bCs/>
                <w:sz w:val="24"/>
                <w:szCs w:val="24"/>
              </w:rPr>
            </w:pPr>
            <w:r w:rsidRPr="00F73637">
              <w:rPr>
                <w:rFonts w:ascii="Times New Roman" w:hAnsi="Times New Roman" w:cs="Times New Roman"/>
                <w:sz w:val="24"/>
                <w:szCs w:val="24"/>
              </w:rPr>
              <w:t xml:space="preserve">Приватизация государственного имущества, Распоряжение имуществом и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исполнение функций государственного заказчика по осуществлению закупок на поставку товаров, выполнение работ, оказание услуг для государственных нужд в сфере имущественных и земельных отношений в соответствии с законодательством о контрактной системе, </w:t>
            </w:r>
            <w:r w:rsidRPr="00F73637">
              <w:rPr>
                <w:rFonts w:ascii="Times New Roman" w:hAnsi="Times New Roman" w:cs="Times New Roman"/>
                <w:bCs/>
                <w:sz w:val="24"/>
                <w:szCs w:val="24"/>
              </w:rPr>
              <w:t>разработка проектов законов, иных нормативных правовых актов Воронежской области по вопросам управления и распоряжения государственной собственностью Воронежской области</w:t>
            </w:r>
          </w:p>
        </w:tc>
        <w:tc>
          <w:tcPr>
            <w:tcW w:w="3572"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Нарушение антимонопольного законодательства в результате истребование документов</w:t>
            </w:r>
            <w:r w:rsidR="007440FF">
              <w:rPr>
                <w:rFonts w:ascii="Times New Roman" w:hAnsi="Times New Roman" w:cs="Times New Roman"/>
                <w:sz w:val="24"/>
                <w:szCs w:val="24"/>
              </w:rPr>
              <w:t>,</w:t>
            </w:r>
            <w:r w:rsidRPr="00F73637">
              <w:rPr>
                <w:rFonts w:ascii="Times New Roman" w:hAnsi="Times New Roman" w:cs="Times New Roman"/>
                <w:sz w:val="24"/>
                <w:szCs w:val="24"/>
              </w:rPr>
              <w:t xml:space="preserve"> не</w:t>
            </w:r>
            <w:r w:rsidR="007440FF">
              <w:rPr>
                <w:rFonts w:ascii="Times New Roman" w:hAnsi="Times New Roman" w:cs="Times New Roman"/>
                <w:sz w:val="24"/>
                <w:szCs w:val="24"/>
              </w:rPr>
              <w:t xml:space="preserve"> </w:t>
            </w:r>
            <w:r w:rsidRPr="00F73637">
              <w:rPr>
                <w:rFonts w:ascii="Times New Roman" w:hAnsi="Times New Roman" w:cs="Times New Roman"/>
                <w:sz w:val="24"/>
                <w:szCs w:val="24"/>
              </w:rPr>
              <w:t>предусмотренных нормативно-правовыми актами, введение необоснованных ограничений при проведении торгов, создание дискриминационных или преимущественных условий для отдельных хозяйствующих субъектов.</w:t>
            </w:r>
          </w:p>
          <w:p w:rsidR="00F73637" w:rsidRPr="00F73637" w:rsidRDefault="00F73637" w:rsidP="00F73637">
            <w:pPr>
              <w:spacing w:after="160" w:line="259" w:lineRule="auto"/>
              <w:rPr>
                <w:rFonts w:ascii="Times New Roman" w:hAnsi="Times New Roman" w:cs="Times New Roman"/>
                <w:sz w:val="24"/>
                <w:szCs w:val="24"/>
              </w:rPr>
            </w:pPr>
          </w:p>
          <w:p w:rsidR="00F73637" w:rsidRPr="00F73637" w:rsidRDefault="00F73637" w:rsidP="00F73637">
            <w:pPr>
              <w:spacing w:after="160" w:line="259" w:lineRule="auto"/>
              <w:rPr>
                <w:rFonts w:ascii="Times New Roman" w:hAnsi="Times New Roman" w:cs="Times New Roman"/>
                <w:sz w:val="24"/>
                <w:szCs w:val="24"/>
              </w:rPr>
            </w:pPr>
          </w:p>
        </w:tc>
        <w:tc>
          <w:tcPr>
            <w:tcW w:w="3544"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не достаточный уровень квалификации специалистов;</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нарушение порядка и сроков размещения документации по торгам;</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xml:space="preserve">- отсутствие разъяснений уполномоченных органов в части </w:t>
            </w:r>
            <w:proofErr w:type="spellStart"/>
            <w:r w:rsidRPr="00F73637">
              <w:rPr>
                <w:rFonts w:ascii="Times New Roman" w:hAnsi="Times New Roman" w:cs="Times New Roman"/>
                <w:sz w:val="24"/>
                <w:szCs w:val="24"/>
              </w:rPr>
              <w:t>правоприменения</w:t>
            </w:r>
            <w:proofErr w:type="spellEnd"/>
            <w:r w:rsidRPr="00F73637">
              <w:rPr>
                <w:rFonts w:ascii="Times New Roman" w:hAnsi="Times New Roman" w:cs="Times New Roman"/>
                <w:sz w:val="24"/>
                <w:szCs w:val="24"/>
              </w:rPr>
              <w:t xml:space="preserve"> соответствующих положений законодательства. </w:t>
            </w:r>
          </w:p>
        </w:tc>
      </w:tr>
      <w:tr w:rsidR="00F73637" w:rsidRPr="00F73637" w:rsidTr="00BA5ED2">
        <w:tc>
          <w:tcPr>
            <w:tcW w:w="2229"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t>умеренный</w:t>
            </w:r>
          </w:p>
        </w:tc>
        <w:tc>
          <w:tcPr>
            <w:tcW w:w="5993" w:type="dxa"/>
          </w:tcPr>
          <w:p w:rsidR="00F73637" w:rsidRPr="00F73637" w:rsidRDefault="00F73637" w:rsidP="00F85635">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Приобретение в установленном порядке имущества в собственность Воронежской области; лицензи</w:t>
            </w:r>
            <w:r w:rsidR="00F85635">
              <w:rPr>
                <w:rFonts w:ascii="Times New Roman" w:hAnsi="Times New Roman" w:cs="Times New Roman"/>
                <w:sz w:val="24"/>
                <w:szCs w:val="24"/>
              </w:rPr>
              <w:t xml:space="preserve">рование </w:t>
            </w:r>
            <w:r w:rsidRPr="00F73637">
              <w:rPr>
                <w:rFonts w:ascii="Times New Roman" w:hAnsi="Times New Roman" w:cs="Times New Roman"/>
                <w:sz w:val="24"/>
                <w:szCs w:val="24"/>
              </w:rPr>
              <w:t>розничн</w:t>
            </w:r>
            <w:r w:rsidR="00F85635">
              <w:rPr>
                <w:rFonts w:ascii="Times New Roman" w:hAnsi="Times New Roman" w:cs="Times New Roman"/>
                <w:sz w:val="24"/>
                <w:szCs w:val="24"/>
              </w:rPr>
              <w:t>ой</w:t>
            </w:r>
            <w:r w:rsidRPr="00F73637">
              <w:rPr>
                <w:rFonts w:ascii="Times New Roman" w:hAnsi="Times New Roman" w:cs="Times New Roman"/>
                <w:sz w:val="24"/>
                <w:szCs w:val="24"/>
              </w:rPr>
              <w:t xml:space="preserve"> продаж</w:t>
            </w:r>
            <w:r w:rsidR="00F85635">
              <w:rPr>
                <w:rFonts w:ascii="Times New Roman" w:hAnsi="Times New Roman" w:cs="Times New Roman"/>
                <w:sz w:val="24"/>
                <w:szCs w:val="24"/>
              </w:rPr>
              <w:t>и</w:t>
            </w:r>
            <w:r w:rsidRPr="00F73637">
              <w:rPr>
                <w:rFonts w:ascii="Times New Roman" w:hAnsi="Times New Roman" w:cs="Times New Roman"/>
                <w:sz w:val="24"/>
                <w:szCs w:val="24"/>
              </w:rPr>
              <w:t xml:space="preserve"> алкогольной продукции; осуществление </w:t>
            </w:r>
            <w:r w:rsidR="00F85635">
              <w:rPr>
                <w:rFonts w:ascii="Times New Roman" w:hAnsi="Times New Roman" w:cs="Times New Roman"/>
                <w:sz w:val="24"/>
                <w:szCs w:val="24"/>
              </w:rPr>
              <w:t xml:space="preserve">регионального государственного контроля (надзора) в области розничной продажи алкогольной продукции; </w:t>
            </w:r>
            <w:r w:rsidRPr="00F73637">
              <w:rPr>
                <w:rFonts w:ascii="Times New Roman" w:hAnsi="Times New Roman" w:cs="Times New Roman"/>
                <w:sz w:val="24"/>
                <w:szCs w:val="24"/>
              </w:rPr>
              <w:t>лицензи</w:t>
            </w:r>
            <w:r w:rsidR="00F85635">
              <w:rPr>
                <w:rFonts w:ascii="Times New Roman" w:hAnsi="Times New Roman" w:cs="Times New Roman"/>
                <w:sz w:val="24"/>
                <w:szCs w:val="24"/>
              </w:rPr>
              <w:t>рование</w:t>
            </w:r>
            <w:r w:rsidRPr="00F73637">
              <w:rPr>
                <w:rFonts w:ascii="Times New Roman" w:hAnsi="Times New Roman" w:cs="Times New Roman"/>
                <w:sz w:val="24"/>
                <w:szCs w:val="24"/>
              </w:rPr>
              <w:t xml:space="preserve"> заготовки, хранения, переработки и реализации лома черных металлов, цветных металлов; утверждение схемы </w:t>
            </w:r>
            <w:r w:rsidRPr="00F73637">
              <w:rPr>
                <w:rFonts w:ascii="Times New Roman" w:hAnsi="Times New Roman" w:cs="Times New Roman"/>
                <w:sz w:val="24"/>
                <w:szCs w:val="24"/>
              </w:rPr>
              <w:lastRenderedPageBreak/>
              <w:t xml:space="preserve">размещения рекламных конструкций;  аннулирование разрешений на установку и эксплуатацию рекламных конструкций на территории городского округа город Воронеж; выдача предписаний о демонтаже рекламных конструкций, установленных и (или) эксплуатируемых без разрешений, срок действия которых не истек, на территории городского округа город Воронеж; перераспределение земель и (или) земельных участков, находящихся в собственности Воронежской области, а также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w:t>
            </w:r>
            <w:r w:rsidRPr="00F73637">
              <w:rPr>
                <w:rFonts w:ascii="Times New Roman" w:hAnsi="Times New Roman" w:cs="Times New Roman"/>
                <w:bCs/>
                <w:sz w:val="24"/>
                <w:szCs w:val="24"/>
              </w:rPr>
              <w:t>выдача разрешений на установку и эксплуатацию рекламных конструкций на территории городского округа город Воронеж; 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w:t>
            </w:r>
          </w:p>
        </w:tc>
        <w:tc>
          <w:tcPr>
            <w:tcW w:w="3572"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lastRenderedPageBreak/>
              <w:t>Нарушение антимонопольного законодательства в результате истребование документов</w:t>
            </w:r>
            <w:r w:rsidR="007440FF">
              <w:rPr>
                <w:rFonts w:ascii="Times New Roman" w:hAnsi="Times New Roman" w:cs="Times New Roman"/>
                <w:sz w:val="24"/>
                <w:szCs w:val="24"/>
              </w:rPr>
              <w:t>,</w:t>
            </w:r>
            <w:r w:rsidRPr="00F73637">
              <w:rPr>
                <w:rFonts w:ascii="Times New Roman" w:hAnsi="Times New Roman" w:cs="Times New Roman"/>
                <w:sz w:val="24"/>
                <w:szCs w:val="24"/>
              </w:rPr>
              <w:t xml:space="preserve"> не</w:t>
            </w:r>
            <w:r w:rsidR="007440FF">
              <w:rPr>
                <w:rFonts w:ascii="Times New Roman" w:hAnsi="Times New Roman" w:cs="Times New Roman"/>
                <w:sz w:val="24"/>
                <w:szCs w:val="24"/>
              </w:rPr>
              <w:t xml:space="preserve"> </w:t>
            </w:r>
            <w:r w:rsidRPr="00F73637">
              <w:rPr>
                <w:rFonts w:ascii="Times New Roman" w:hAnsi="Times New Roman" w:cs="Times New Roman"/>
                <w:sz w:val="24"/>
                <w:szCs w:val="24"/>
              </w:rPr>
              <w:t xml:space="preserve">предусмотренных нормативно-правовыми актами, введение необоснованных ограничений при проведении торгов, создание дискриминационных </w:t>
            </w:r>
            <w:r w:rsidRPr="00F73637">
              <w:rPr>
                <w:rFonts w:ascii="Times New Roman" w:hAnsi="Times New Roman" w:cs="Times New Roman"/>
                <w:sz w:val="24"/>
                <w:szCs w:val="24"/>
              </w:rPr>
              <w:lastRenderedPageBreak/>
              <w:t>или преимущественных условий для отдельных хозяйствующих субъектов.</w:t>
            </w:r>
          </w:p>
          <w:p w:rsidR="00F73637" w:rsidRPr="00F73637" w:rsidRDefault="00F73637" w:rsidP="00F73637">
            <w:pPr>
              <w:spacing w:after="160" w:line="259" w:lineRule="auto"/>
              <w:rPr>
                <w:rFonts w:ascii="Times New Roman" w:hAnsi="Times New Roman" w:cs="Times New Roman"/>
                <w:sz w:val="24"/>
                <w:szCs w:val="24"/>
              </w:rPr>
            </w:pPr>
          </w:p>
          <w:p w:rsidR="00F73637" w:rsidRPr="00F73637" w:rsidRDefault="00F73637" w:rsidP="00F73637">
            <w:pPr>
              <w:spacing w:after="160" w:line="259" w:lineRule="auto"/>
              <w:rPr>
                <w:rFonts w:ascii="Times New Roman" w:hAnsi="Times New Roman" w:cs="Times New Roman"/>
                <w:sz w:val="24"/>
                <w:szCs w:val="24"/>
              </w:rPr>
            </w:pPr>
          </w:p>
        </w:tc>
        <w:tc>
          <w:tcPr>
            <w:tcW w:w="3544"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lastRenderedPageBreak/>
              <w:t>- не достаточный уровень квалификации специалистов;</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нарушение порядка и сроков размещения документации по торгам;</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xml:space="preserve">- отсутствие разъяснений уполномоченных органов в </w:t>
            </w:r>
            <w:r w:rsidRPr="00F73637">
              <w:rPr>
                <w:rFonts w:ascii="Times New Roman" w:hAnsi="Times New Roman" w:cs="Times New Roman"/>
                <w:sz w:val="24"/>
                <w:szCs w:val="24"/>
              </w:rPr>
              <w:lastRenderedPageBreak/>
              <w:t xml:space="preserve">части </w:t>
            </w:r>
            <w:proofErr w:type="spellStart"/>
            <w:r w:rsidRPr="00F73637">
              <w:rPr>
                <w:rFonts w:ascii="Times New Roman" w:hAnsi="Times New Roman" w:cs="Times New Roman"/>
                <w:sz w:val="24"/>
                <w:szCs w:val="24"/>
              </w:rPr>
              <w:t>правоприменения</w:t>
            </w:r>
            <w:proofErr w:type="spellEnd"/>
            <w:r w:rsidRPr="00F73637">
              <w:rPr>
                <w:rFonts w:ascii="Times New Roman" w:hAnsi="Times New Roman" w:cs="Times New Roman"/>
                <w:sz w:val="24"/>
                <w:szCs w:val="24"/>
              </w:rPr>
              <w:t xml:space="preserve"> соответствующих положений законодательства.</w:t>
            </w:r>
          </w:p>
        </w:tc>
      </w:tr>
      <w:tr w:rsidR="00F73637" w:rsidRPr="00F73637" w:rsidTr="00BA5ED2">
        <w:tc>
          <w:tcPr>
            <w:tcW w:w="2229" w:type="dxa"/>
          </w:tcPr>
          <w:p w:rsidR="00F73637" w:rsidRPr="00F73637" w:rsidRDefault="00F73637" w:rsidP="00F73637">
            <w:pPr>
              <w:spacing w:after="160" w:line="259" w:lineRule="auto"/>
              <w:jc w:val="center"/>
              <w:rPr>
                <w:rFonts w:ascii="Times New Roman" w:hAnsi="Times New Roman" w:cs="Times New Roman"/>
                <w:sz w:val="24"/>
                <w:szCs w:val="24"/>
              </w:rPr>
            </w:pPr>
            <w:r w:rsidRPr="00F73637">
              <w:rPr>
                <w:rFonts w:ascii="Times New Roman" w:hAnsi="Times New Roman" w:cs="Times New Roman"/>
                <w:sz w:val="24"/>
                <w:szCs w:val="24"/>
              </w:rPr>
              <w:lastRenderedPageBreak/>
              <w:t>малый</w:t>
            </w:r>
          </w:p>
        </w:tc>
        <w:tc>
          <w:tcPr>
            <w:tcW w:w="5993" w:type="dxa"/>
          </w:tcPr>
          <w:p w:rsidR="00F73637" w:rsidRPr="00F73637" w:rsidRDefault="00F73637" w:rsidP="00B144E1">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xml:space="preserve">Осуществление от имени Воронежской области прав акционера акционерных обществ, акции которых находятся в собственности Воронежской области (согласование совершаемых от имени акционерных обществ, сделок, с государственным имуществом); осуществление обмена земельного участка, находящегося в собственности Воронежской области, на земельный участок, находящийся в частной собственности; управление и распоряжение правами на результаты интеллектуальной деятельности, принадлежащими Воронежской области, в том числе </w:t>
            </w:r>
            <w:r w:rsidRPr="00F73637">
              <w:rPr>
                <w:rFonts w:ascii="Times New Roman" w:hAnsi="Times New Roman" w:cs="Times New Roman"/>
                <w:sz w:val="24"/>
                <w:szCs w:val="24"/>
              </w:rPr>
              <w:lastRenderedPageBreak/>
              <w:t>осуществление функций по правовому оформлению объектов интеллектуальной собственности и средств индивидуализации, авторских и смежных прав, их государственной регистрации</w:t>
            </w:r>
            <w:r w:rsidR="007F1458">
              <w:rPr>
                <w:rFonts w:ascii="Times New Roman" w:hAnsi="Times New Roman" w:cs="Times New Roman"/>
                <w:sz w:val="24"/>
                <w:szCs w:val="24"/>
              </w:rPr>
              <w:t xml:space="preserve">, </w:t>
            </w:r>
            <w:r w:rsidR="00B144E1">
              <w:rPr>
                <w:rFonts w:ascii="Times New Roman" w:hAnsi="Times New Roman" w:cs="Times New Roman"/>
                <w:sz w:val="24"/>
                <w:szCs w:val="24"/>
              </w:rPr>
              <w:t xml:space="preserve">учет </w:t>
            </w:r>
            <w:r w:rsidR="007F1458">
              <w:rPr>
                <w:rFonts w:ascii="Times New Roman" w:hAnsi="Times New Roman" w:cs="Times New Roman"/>
                <w:sz w:val="24"/>
                <w:szCs w:val="24"/>
              </w:rPr>
              <w:t xml:space="preserve">граждан, </w:t>
            </w:r>
            <w:r w:rsidR="00B144E1">
              <w:rPr>
                <w:rFonts w:ascii="Times New Roman" w:hAnsi="Times New Roman" w:cs="Times New Roman"/>
                <w:sz w:val="24"/>
                <w:szCs w:val="24"/>
              </w:rPr>
              <w:t>нуждающихся в предоставлении жилых помещений маневренного фонда</w:t>
            </w:r>
          </w:p>
        </w:tc>
        <w:tc>
          <w:tcPr>
            <w:tcW w:w="3572"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lastRenderedPageBreak/>
              <w:t>Нарушение антимонопольного законодательства в результате истребование документов</w:t>
            </w:r>
            <w:r w:rsidR="007440FF">
              <w:rPr>
                <w:rFonts w:ascii="Times New Roman" w:hAnsi="Times New Roman" w:cs="Times New Roman"/>
                <w:sz w:val="24"/>
                <w:szCs w:val="24"/>
              </w:rPr>
              <w:t>,</w:t>
            </w:r>
            <w:r w:rsidRPr="00F73637">
              <w:rPr>
                <w:rFonts w:ascii="Times New Roman" w:hAnsi="Times New Roman" w:cs="Times New Roman"/>
                <w:sz w:val="24"/>
                <w:szCs w:val="24"/>
              </w:rPr>
              <w:t xml:space="preserve"> не</w:t>
            </w:r>
            <w:r w:rsidR="007440FF">
              <w:rPr>
                <w:rFonts w:ascii="Times New Roman" w:hAnsi="Times New Roman" w:cs="Times New Roman"/>
                <w:sz w:val="24"/>
                <w:szCs w:val="24"/>
              </w:rPr>
              <w:t xml:space="preserve"> </w:t>
            </w:r>
            <w:r w:rsidRPr="00F73637">
              <w:rPr>
                <w:rFonts w:ascii="Times New Roman" w:hAnsi="Times New Roman" w:cs="Times New Roman"/>
                <w:sz w:val="24"/>
                <w:szCs w:val="24"/>
              </w:rPr>
              <w:t xml:space="preserve">предусмотренных нормативно-правовыми актами, введение необоснованных ограничений при проведении торгов, создание дискриминационных или преимущественных условий </w:t>
            </w:r>
            <w:r w:rsidRPr="00F73637">
              <w:rPr>
                <w:rFonts w:ascii="Times New Roman" w:hAnsi="Times New Roman" w:cs="Times New Roman"/>
                <w:sz w:val="24"/>
                <w:szCs w:val="24"/>
              </w:rPr>
              <w:lastRenderedPageBreak/>
              <w:t>для отдельных хозяйствующих субъектов.</w:t>
            </w:r>
          </w:p>
          <w:p w:rsidR="00F73637" w:rsidRPr="00F73637" w:rsidRDefault="00F73637" w:rsidP="00F73637">
            <w:pPr>
              <w:spacing w:after="160" w:line="259" w:lineRule="auto"/>
              <w:rPr>
                <w:rFonts w:ascii="Times New Roman" w:hAnsi="Times New Roman" w:cs="Times New Roman"/>
                <w:sz w:val="24"/>
                <w:szCs w:val="24"/>
              </w:rPr>
            </w:pPr>
          </w:p>
          <w:p w:rsidR="00F73637" w:rsidRPr="00F73637" w:rsidRDefault="00F73637" w:rsidP="00F73637">
            <w:pPr>
              <w:spacing w:after="160" w:line="259" w:lineRule="auto"/>
              <w:rPr>
                <w:rFonts w:ascii="Times New Roman" w:hAnsi="Times New Roman" w:cs="Times New Roman"/>
                <w:sz w:val="24"/>
                <w:szCs w:val="24"/>
              </w:rPr>
            </w:pPr>
          </w:p>
        </w:tc>
        <w:tc>
          <w:tcPr>
            <w:tcW w:w="3544" w:type="dxa"/>
          </w:tcPr>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lastRenderedPageBreak/>
              <w:t>- не достаточный уровень квалификации специалистов;</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нарушение порядка и сроков размещения документации по торгам;</w:t>
            </w:r>
          </w:p>
          <w:p w:rsidR="00F73637" w:rsidRPr="00F73637" w:rsidRDefault="00F73637" w:rsidP="00F73637">
            <w:pPr>
              <w:spacing w:after="160" w:line="259" w:lineRule="auto"/>
              <w:rPr>
                <w:rFonts w:ascii="Times New Roman" w:hAnsi="Times New Roman" w:cs="Times New Roman"/>
                <w:sz w:val="24"/>
                <w:szCs w:val="24"/>
              </w:rPr>
            </w:pPr>
            <w:r w:rsidRPr="00F73637">
              <w:rPr>
                <w:rFonts w:ascii="Times New Roman" w:hAnsi="Times New Roman" w:cs="Times New Roman"/>
                <w:sz w:val="24"/>
                <w:szCs w:val="24"/>
              </w:rPr>
              <w:t xml:space="preserve">- отсутствие разъяснений уполномоченных органов в части </w:t>
            </w:r>
            <w:proofErr w:type="spellStart"/>
            <w:r w:rsidRPr="00F73637">
              <w:rPr>
                <w:rFonts w:ascii="Times New Roman" w:hAnsi="Times New Roman" w:cs="Times New Roman"/>
                <w:sz w:val="24"/>
                <w:szCs w:val="24"/>
              </w:rPr>
              <w:t>правоприменения</w:t>
            </w:r>
            <w:proofErr w:type="spellEnd"/>
            <w:r w:rsidRPr="00F73637">
              <w:rPr>
                <w:rFonts w:ascii="Times New Roman" w:hAnsi="Times New Roman" w:cs="Times New Roman"/>
                <w:sz w:val="24"/>
                <w:szCs w:val="24"/>
              </w:rPr>
              <w:t xml:space="preserve"> </w:t>
            </w:r>
            <w:r w:rsidRPr="00F73637">
              <w:rPr>
                <w:rFonts w:ascii="Times New Roman" w:hAnsi="Times New Roman" w:cs="Times New Roman"/>
                <w:sz w:val="24"/>
                <w:szCs w:val="24"/>
              </w:rPr>
              <w:lastRenderedPageBreak/>
              <w:t>соответствующих положений законодательства.</w:t>
            </w:r>
          </w:p>
        </w:tc>
      </w:tr>
    </w:tbl>
    <w:p w:rsidR="007440FF" w:rsidRDefault="007440FF" w:rsidP="00F73637">
      <w:pPr>
        <w:ind w:firstLine="709"/>
        <w:jc w:val="right"/>
        <w:rPr>
          <w:rFonts w:ascii="Times New Roman" w:hAnsi="Times New Roman" w:cs="Times New Roman"/>
          <w:b/>
          <w:sz w:val="28"/>
          <w:szCs w:val="28"/>
        </w:rPr>
      </w:pPr>
    </w:p>
    <w:p w:rsidR="007440FF" w:rsidRPr="007440FF" w:rsidRDefault="007440FF" w:rsidP="007440FF">
      <w:pPr>
        <w:rPr>
          <w:rFonts w:ascii="Times New Roman" w:hAnsi="Times New Roman" w:cs="Times New Roman"/>
          <w:sz w:val="28"/>
          <w:szCs w:val="28"/>
        </w:rPr>
      </w:pPr>
    </w:p>
    <w:p w:rsidR="007440FF" w:rsidRPr="007440FF" w:rsidRDefault="007440FF" w:rsidP="007440FF">
      <w:pPr>
        <w:rPr>
          <w:rFonts w:ascii="Times New Roman" w:hAnsi="Times New Roman" w:cs="Times New Roman"/>
          <w:sz w:val="28"/>
          <w:szCs w:val="28"/>
        </w:rPr>
      </w:pPr>
    </w:p>
    <w:p w:rsidR="007440FF" w:rsidRDefault="007440FF" w:rsidP="007440FF">
      <w:pPr>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r>
        <w:rPr>
          <w:rFonts w:ascii="Times New Roman" w:hAnsi="Times New Roman" w:cs="Times New Roman"/>
          <w:sz w:val="28"/>
          <w:szCs w:val="28"/>
        </w:rPr>
        <w:tab/>
      </w: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B144E1" w:rsidRDefault="00B144E1"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F1458" w:rsidRDefault="007F1458"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7440FF" w:rsidP="007440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440FF" w:rsidRDefault="007440FF" w:rsidP="007440FF">
      <w:pPr>
        <w:spacing w:after="0" w:line="240" w:lineRule="auto"/>
        <w:jc w:val="right"/>
        <w:rPr>
          <w:rFonts w:ascii="Times New Roman" w:hAnsi="Times New Roman" w:cs="Times New Roman"/>
          <w:sz w:val="28"/>
          <w:szCs w:val="28"/>
        </w:rPr>
      </w:pPr>
    </w:p>
    <w:p w:rsidR="007440FF" w:rsidRDefault="007440FF" w:rsidP="007440FF">
      <w:pPr>
        <w:spacing w:after="0" w:line="240" w:lineRule="auto"/>
        <w:jc w:val="center"/>
        <w:rPr>
          <w:rFonts w:ascii="Times New Roman" w:hAnsi="Times New Roman" w:cs="Times New Roman"/>
          <w:sz w:val="28"/>
          <w:szCs w:val="28"/>
        </w:rPr>
      </w:pPr>
      <w:r w:rsidRPr="001276F0">
        <w:rPr>
          <w:rFonts w:ascii="Times New Roman" w:hAnsi="Times New Roman" w:cs="Times New Roman"/>
          <w:sz w:val="28"/>
          <w:szCs w:val="28"/>
        </w:rPr>
        <w:t>План мероприятий (</w:t>
      </w:r>
      <w:r>
        <w:rPr>
          <w:rFonts w:ascii="Times New Roman" w:hAnsi="Times New Roman" w:cs="Times New Roman"/>
          <w:sz w:val="28"/>
          <w:szCs w:val="28"/>
        </w:rPr>
        <w:t>«</w:t>
      </w:r>
      <w:r w:rsidRPr="001276F0">
        <w:rPr>
          <w:rFonts w:ascii="Times New Roman" w:hAnsi="Times New Roman" w:cs="Times New Roman"/>
          <w:sz w:val="28"/>
          <w:szCs w:val="28"/>
        </w:rPr>
        <w:t>дорожная карта</w:t>
      </w:r>
      <w:r>
        <w:rPr>
          <w:rFonts w:ascii="Times New Roman" w:hAnsi="Times New Roman" w:cs="Times New Roman"/>
          <w:sz w:val="28"/>
          <w:szCs w:val="28"/>
        </w:rPr>
        <w:t>»</w:t>
      </w:r>
      <w:r w:rsidRPr="001276F0">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департамента имущественных и земельных отношений Воронежской области </w:t>
      </w:r>
    </w:p>
    <w:p w:rsidR="007440FF" w:rsidRDefault="007440FF" w:rsidP="007440FF">
      <w:pPr>
        <w:spacing w:after="0" w:line="240" w:lineRule="auto"/>
        <w:jc w:val="center"/>
        <w:rPr>
          <w:rFonts w:ascii="Times New Roman" w:hAnsi="Times New Roman" w:cs="Times New Roman"/>
          <w:sz w:val="28"/>
          <w:szCs w:val="28"/>
        </w:rPr>
      </w:pPr>
      <w:r w:rsidRPr="001276F0">
        <w:rPr>
          <w:rFonts w:ascii="Times New Roman" w:hAnsi="Times New Roman" w:cs="Times New Roman"/>
          <w:sz w:val="28"/>
          <w:szCs w:val="28"/>
        </w:rPr>
        <w:t xml:space="preserve">по снижению рисков нарушения антимонопольного законодательства </w:t>
      </w:r>
    </w:p>
    <w:p w:rsidR="007440FF" w:rsidRPr="001276F0" w:rsidRDefault="007440FF" w:rsidP="007440FF">
      <w:pPr>
        <w:spacing w:after="0" w:line="240" w:lineRule="auto"/>
        <w:rPr>
          <w:rFonts w:ascii="Times New Roman" w:hAnsi="Times New Roman" w:cs="Times New Roman"/>
          <w:sz w:val="28"/>
          <w:szCs w:val="28"/>
        </w:rPr>
      </w:pPr>
    </w:p>
    <w:tbl>
      <w:tblPr>
        <w:tblW w:w="14879" w:type="dxa"/>
        <w:tblLayout w:type="fixed"/>
        <w:tblCellMar>
          <w:left w:w="0" w:type="dxa"/>
          <w:right w:w="0" w:type="dxa"/>
        </w:tblCellMar>
        <w:tblLook w:val="04A0" w:firstRow="1" w:lastRow="0" w:firstColumn="1" w:lastColumn="0" w:noHBand="0" w:noVBand="1"/>
      </w:tblPr>
      <w:tblGrid>
        <w:gridCol w:w="557"/>
        <w:gridCol w:w="6665"/>
        <w:gridCol w:w="2268"/>
        <w:gridCol w:w="1561"/>
        <w:gridCol w:w="3828"/>
      </w:tblGrid>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w:t>
            </w: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Мероприятие по снижению рисков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Исполнители (структурное подразделение)</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Срок исполнения</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Результат исполнения</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Осуществление правовой экспертизы проектов нормативных правовых актов и проектов правовых актов департамента имущественных и земельных отношений Воронежской области (далее – департамент) на предмет соответствия их антимонопольному законодательству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Сведение к минимуму рисков нарушений антимонопольного законодательства при разработке нормативных правовых актов</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Мониторинг и анализ практики применения антимонопольного законодательства, рисков нарушения антимонопольного законодательства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Сведение к минимуму рисков нарушений антимонопольного законодательства при разработке нормативных правовых актов</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 xml:space="preserve">Размещение на официальном сайте департамента проектов нормативных правовых актов департамента и нормативных правовых актов департамента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Отдел программного управления, анализа и мониторинга</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rPr>
                <w:sz w:val="24"/>
              </w:rPr>
            </w:pPr>
            <w:r w:rsidRPr="007440FF">
              <w:rPr>
                <w:rFonts w:ascii="Times New Roman" w:hAnsi="Times New Roman" w:cs="Times New Roman"/>
                <w:sz w:val="24"/>
                <w:szCs w:val="28"/>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Сведение к минимуму рисков нарушений антимонопольного законодательства при разработке нормативных правовых актов</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Наличие административных регламентов предоставления государственных услуг, оказываемых департаментом. Приведение их в соответствие действующему законодательству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Структурные подразделения департамента, осуществляющие оказание государственных услуг</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rPr>
                <w:sz w:val="24"/>
              </w:rPr>
            </w:pPr>
            <w:r w:rsidRPr="007440FF">
              <w:rPr>
                <w:rFonts w:ascii="Times New Roman" w:hAnsi="Times New Roman" w:cs="Times New Roman"/>
                <w:sz w:val="24"/>
                <w:szCs w:val="28"/>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 xml:space="preserve">Сведение к минимуму рисков нарушений антимонопольного законодательства </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Сбор сведений в структурных подразделениях департамента о наличии выявленных контрольными органами нарушений антимонопольного законодательства.</w:t>
            </w:r>
          </w:p>
          <w:p w:rsidR="007440FF" w:rsidRPr="007440FF" w:rsidRDefault="007440FF" w:rsidP="007F1458">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 xml:space="preserve">Анализ выявленных нарушений антимонопольного законодательства за </w:t>
            </w:r>
            <w:r w:rsidR="007F1458">
              <w:rPr>
                <w:rFonts w:ascii="Times New Roman" w:hAnsi="Times New Roman" w:cs="Times New Roman"/>
                <w:sz w:val="24"/>
                <w:szCs w:val="28"/>
              </w:rPr>
              <w:t>отчетный период</w:t>
            </w:r>
            <w:r w:rsidRPr="007440FF">
              <w:rPr>
                <w:rFonts w:ascii="Times New Roman" w:hAnsi="Times New Roman" w:cs="Times New Roman"/>
                <w:sz w:val="24"/>
                <w:szCs w:val="28"/>
              </w:rPr>
              <w:t xml:space="preserve"> (наличие </w:t>
            </w:r>
            <w:r w:rsidRPr="007440FF">
              <w:rPr>
                <w:rFonts w:ascii="Times New Roman" w:hAnsi="Times New Roman" w:cs="Times New Roman"/>
                <w:sz w:val="24"/>
                <w:szCs w:val="28"/>
              </w:rPr>
              <w:lastRenderedPageBreak/>
              <w:t>предостережений, предупреждений, штрафов, жалоб, возбужденных дел)</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lastRenderedPageBreak/>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F1458" w:rsidP="0095795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ежегодно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 xml:space="preserve">Сведение к минимуму рисков нарушений антимонопольного законодательства </w:t>
            </w:r>
          </w:p>
        </w:tc>
      </w:tr>
      <w:tr w:rsidR="007440FF" w:rsidRPr="007440FF" w:rsidTr="00F27C1B">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Pr="007440FF" w:rsidRDefault="007440FF" w:rsidP="00957952">
            <w:pPr>
              <w:pStyle w:val="aa"/>
              <w:numPr>
                <w:ilvl w:val="0"/>
                <w:numId w:val="1"/>
              </w:numPr>
              <w:tabs>
                <w:tab w:val="left" w:pos="410"/>
              </w:tabs>
              <w:spacing w:after="0" w:line="240" w:lineRule="auto"/>
              <w:rPr>
                <w:rFonts w:ascii="Times New Roman" w:hAnsi="Times New Roman" w:cs="Times New Roman"/>
                <w:sz w:val="24"/>
                <w:szCs w:val="28"/>
              </w:rPr>
            </w:pPr>
          </w:p>
        </w:tc>
        <w:tc>
          <w:tcPr>
            <w:tcW w:w="66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E00D7"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 xml:space="preserve">Организация повышения квалификации работников департамента по вопросам применения антимонопольного законодательства и организации антимонопольного </w:t>
            </w:r>
            <w:proofErr w:type="spellStart"/>
            <w:r w:rsidRPr="007440FF">
              <w:rPr>
                <w:rFonts w:ascii="Times New Roman" w:hAnsi="Times New Roman" w:cs="Times New Roman"/>
                <w:sz w:val="24"/>
                <w:szCs w:val="28"/>
              </w:rPr>
              <w:t>комплаенса</w:t>
            </w:r>
            <w:proofErr w:type="spellEnd"/>
            <w:r w:rsidR="00FE00D7">
              <w:rPr>
                <w:rFonts w:ascii="Times New Roman" w:hAnsi="Times New Roman" w:cs="Times New Roman"/>
                <w:sz w:val="24"/>
                <w:szCs w:val="28"/>
              </w:rPr>
              <w:t>.</w:t>
            </w:r>
          </w:p>
          <w:p w:rsidR="007440FF" w:rsidRPr="007440FF" w:rsidRDefault="00FE00D7"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Систематическое повышение квалификации работников контрактной службы. Анализ изменений, вносимых в законодательство о закупках</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Отдел контроля, документационного обеспечения и организац</w:t>
            </w:r>
            <w:r w:rsidR="00FE00D7">
              <w:rPr>
                <w:rFonts w:ascii="Times New Roman" w:hAnsi="Times New Roman" w:cs="Times New Roman"/>
                <w:sz w:val="24"/>
                <w:szCs w:val="28"/>
              </w:rPr>
              <w:t>ии работы с обращениями граждан,</w:t>
            </w:r>
          </w:p>
          <w:p w:rsidR="00FE00D7" w:rsidRPr="007440FF" w:rsidRDefault="00FE00D7" w:rsidP="0095795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отдел регулирования рекламной деятельности и организации закупок</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rPr>
                <w:rFonts w:ascii="Times New Roman" w:hAnsi="Times New Roman" w:cs="Times New Roman"/>
                <w:sz w:val="24"/>
                <w:szCs w:val="28"/>
              </w:rPr>
            </w:pPr>
            <w:r w:rsidRPr="007440FF">
              <w:rPr>
                <w:rFonts w:ascii="Times New Roman" w:hAnsi="Times New Roman" w:cs="Times New Roman"/>
                <w:sz w:val="24"/>
                <w:szCs w:val="28"/>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40FF" w:rsidRPr="007440FF" w:rsidRDefault="007440FF" w:rsidP="00957952">
            <w:pPr>
              <w:spacing w:after="0" w:line="240" w:lineRule="auto"/>
              <w:jc w:val="center"/>
              <w:rPr>
                <w:rFonts w:ascii="Times New Roman" w:hAnsi="Times New Roman" w:cs="Times New Roman"/>
                <w:sz w:val="24"/>
                <w:szCs w:val="28"/>
              </w:rPr>
            </w:pPr>
            <w:r w:rsidRPr="007440FF">
              <w:rPr>
                <w:rFonts w:ascii="Times New Roman" w:hAnsi="Times New Roman" w:cs="Times New Roman"/>
                <w:sz w:val="24"/>
                <w:szCs w:val="28"/>
              </w:rPr>
              <w:t xml:space="preserve">Сведение к минимуму рисков нарушений антимонопольного законодательства путем повышения уровня знаний сотрудников департамента в области антимонопольного законодательства и внедрения антимонопольного </w:t>
            </w:r>
            <w:proofErr w:type="spellStart"/>
            <w:r w:rsidRPr="007440FF">
              <w:rPr>
                <w:rFonts w:ascii="Times New Roman" w:hAnsi="Times New Roman" w:cs="Times New Roman"/>
                <w:sz w:val="24"/>
                <w:szCs w:val="28"/>
              </w:rPr>
              <w:t>комплаенса</w:t>
            </w:r>
            <w:proofErr w:type="spellEnd"/>
            <w:r w:rsidR="00FE00D7">
              <w:rPr>
                <w:rFonts w:ascii="Times New Roman" w:hAnsi="Times New Roman" w:cs="Times New Roman"/>
                <w:sz w:val="24"/>
                <w:szCs w:val="28"/>
              </w:rPr>
              <w:t>.</w:t>
            </w:r>
            <w:r w:rsidR="00FE00D7" w:rsidRPr="007440FF">
              <w:rPr>
                <w:rFonts w:ascii="Times New Roman" w:hAnsi="Times New Roman" w:cs="Times New Roman"/>
                <w:sz w:val="24"/>
                <w:szCs w:val="28"/>
              </w:rPr>
              <w:t xml:space="preserve"> Сведение к минимуму рисков нарушений антимонопольного законодательства путем повышения уровня знаний сотрудников департамента в области закупок</w:t>
            </w:r>
          </w:p>
        </w:tc>
      </w:tr>
    </w:tbl>
    <w:p w:rsidR="007440FF" w:rsidRPr="001276F0" w:rsidRDefault="007440FF" w:rsidP="007440FF">
      <w:pPr>
        <w:spacing w:after="0" w:line="240" w:lineRule="auto"/>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652516" w:rsidRDefault="007440FF" w:rsidP="007440FF">
      <w:pPr>
        <w:tabs>
          <w:tab w:val="left" w:pos="8260"/>
        </w:tabs>
        <w:rPr>
          <w:rFonts w:ascii="Times New Roman" w:hAnsi="Times New Roman" w:cs="Times New Roman"/>
          <w:sz w:val="28"/>
          <w:szCs w:val="28"/>
        </w:rPr>
      </w:pPr>
      <w:r>
        <w:rPr>
          <w:rFonts w:ascii="Times New Roman" w:hAnsi="Times New Roman" w:cs="Times New Roman"/>
          <w:sz w:val="28"/>
          <w:szCs w:val="28"/>
        </w:rPr>
        <w:tab/>
      </w: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F1458" w:rsidRDefault="007F1458"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7440FF" w:rsidP="007440FF">
      <w:pPr>
        <w:tabs>
          <w:tab w:val="left" w:pos="8260"/>
        </w:tabs>
        <w:rPr>
          <w:rFonts w:ascii="Times New Roman" w:hAnsi="Times New Roman" w:cs="Times New Roman"/>
          <w:sz w:val="28"/>
          <w:szCs w:val="28"/>
        </w:rPr>
      </w:pPr>
    </w:p>
    <w:p w:rsidR="007440FF" w:rsidRDefault="00F51FA8" w:rsidP="00F51FA8">
      <w:pPr>
        <w:tabs>
          <w:tab w:val="left" w:pos="826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51FA8" w:rsidRDefault="00F51FA8" w:rsidP="00F51F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Отчет о выполнении </w:t>
      </w:r>
      <w:r w:rsidRPr="001276F0">
        <w:rPr>
          <w:rFonts w:ascii="Times New Roman" w:hAnsi="Times New Roman" w:cs="Times New Roman"/>
          <w:sz w:val="28"/>
          <w:szCs w:val="28"/>
        </w:rPr>
        <w:t>План</w:t>
      </w:r>
      <w:r>
        <w:rPr>
          <w:rFonts w:ascii="Times New Roman" w:hAnsi="Times New Roman" w:cs="Times New Roman"/>
          <w:sz w:val="28"/>
          <w:szCs w:val="28"/>
        </w:rPr>
        <w:t>а</w:t>
      </w:r>
      <w:r w:rsidRPr="001276F0">
        <w:rPr>
          <w:rFonts w:ascii="Times New Roman" w:hAnsi="Times New Roman" w:cs="Times New Roman"/>
          <w:sz w:val="28"/>
          <w:szCs w:val="28"/>
        </w:rPr>
        <w:t xml:space="preserve"> мероприятий (</w:t>
      </w:r>
      <w:r>
        <w:rPr>
          <w:rFonts w:ascii="Times New Roman" w:hAnsi="Times New Roman" w:cs="Times New Roman"/>
          <w:sz w:val="28"/>
          <w:szCs w:val="28"/>
        </w:rPr>
        <w:t>«</w:t>
      </w:r>
      <w:r w:rsidRPr="001276F0">
        <w:rPr>
          <w:rFonts w:ascii="Times New Roman" w:hAnsi="Times New Roman" w:cs="Times New Roman"/>
          <w:sz w:val="28"/>
          <w:szCs w:val="28"/>
        </w:rPr>
        <w:t>дорожн</w:t>
      </w:r>
      <w:r>
        <w:rPr>
          <w:rFonts w:ascii="Times New Roman" w:hAnsi="Times New Roman" w:cs="Times New Roman"/>
          <w:sz w:val="28"/>
          <w:szCs w:val="28"/>
        </w:rPr>
        <w:t>ой</w:t>
      </w:r>
      <w:r w:rsidRPr="001276F0">
        <w:rPr>
          <w:rFonts w:ascii="Times New Roman" w:hAnsi="Times New Roman" w:cs="Times New Roman"/>
          <w:sz w:val="28"/>
          <w:szCs w:val="28"/>
        </w:rPr>
        <w:t xml:space="preserve"> карт</w:t>
      </w:r>
      <w:r>
        <w:rPr>
          <w:rFonts w:ascii="Times New Roman" w:hAnsi="Times New Roman" w:cs="Times New Roman"/>
          <w:sz w:val="28"/>
          <w:szCs w:val="28"/>
        </w:rPr>
        <w:t>ы»</w:t>
      </w:r>
      <w:r w:rsidRPr="001276F0">
        <w:rPr>
          <w:rFonts w:ascii="Times New Roman" w:hAnsi="Times New Roman" w:cs="Times New Roman"/>
          <w:sz w:val="28"/>
          <w:szCs w:val="28"/>
        </w:rPr>
        <w:t xml:space="preserve">) </w:t>
      </w:r>
    </w:p>
    <w:p w:rsidR="00F51FA8" w:rsidRDefault="00F51FA8" w:rsidP="00F51F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имущественных и земельных отношений Воронежской области </w:t>
      </w:r>
    </w:p>
    <w:p w:rsidR="00F51FA8" w:rsidRDefault="00F51FA8" w:rsidP="00F51FA8">
      <w:pPr>
        <w:spacing w:after="0" w:line="240" w:lineRule="auto"/>
        <w:jc w:val="center"/>
        <w:rPr>
          <w:rFonts w:ascii="Times New Roman" w:hAnsi="Times New Roman" w:cs="Times New Roman"/>
          <w:sz w:val="28"/>
          <w:szCs w:val="28"/>
        </w:rPr>
      </w:pPr>
      <w:r w:rsidRPr="001276F0">
        <w:rPr>
          <w:rFonts w:ascii="Times New Roman" w:hAnsi="Times New Roman" w:cs="Times New Roman"/>
          <w:sz w:val="28"/>
          <w:szCs w:val="28"/>
        </w:rPr>
        <w:t xml:space="preserve">по снижению рисков нарушения антимонопольного законодательства </w:t>
      </w:r>
    </w:p>
    <w:p w:rsidR="00F51FA8" w:rsidRDefault="00F51FA8" w:rsidP="00F51F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1276F0">
        <w:rPr>
          <w:rFonts w:ascii="Times New Roman" w:hAnsi="Times New Roman" w:cs="Times New Roman"/>
          <w:sz w:val="28"/>
          <w:szCs w:val="28"/>
        </w:rPr>
        <w:t>а 202</w:t>
      </w:r>
      <w:r w:rsidR="00316017">
        <w:rPr>
          <w:rFonts w:ascii="Times New Roman" w:hAnsi="Times New Roman" w:cs="Times New Roman"/>
          <w:sz w:val="28"/>
          <w:szCs w:val="28"/>
        </w:rPr>
        <w:t>2</w:t>
      </w:r>
      <w:r w:rsidRPr="001276F0">
        <w:rPr>
          <w:rFonts w:ascii="Times New Roman" w:hAnsi="Times New Roman" w:cs="Times New Roman"/>
          <w:sz w:val="28"/>
          <w:szCs w:val="28"/>
        </w:rPr>
        <w:t xml:space="preserve"> год</w:t>
      </w:r>
    </w:p>
    <w:p w:rsidR="00F51FA8" w:rsidRPr="001276F0" w:rsidRDefault="00F51FA8" w:rsidP="00F51FA8">
      <w:pPr>
        <w:spacing w:after="0" w:line="240" w:lineRule="auto"/>
        <w:rPr>
          <w:rFonts w:ascii="Times New Roman" w:hAnsi="Times New Roman" w:cs="Times New Roman"/>
          <w:sz w:val="28"/>
          <w:szCs w:val="28"/>
        </w:rPr>
      </w:pPr>
    </w:p>
    <w:tbl>
      <w:tblPr>
        <w:tblW w:w="15018" w:type="dxa"/>
        <w:tblLayout w:type="fixed"/>
        <w:tblCellMar>
          <w:left w:w="0" w:type="dxa"/>
          <w:right w:w="0" w:type="dxa"/>
        </w:tblCellMar>
        <w:tblLook w:val="04A0" w:firstRow="1" w:lastRow="0" w:firstColumn="1" w:lastColumn="0" w:noHBand="0" w:noVBand="1"/>
      </w:tblPr>
      <w:tblGrid>
        <w:gridCol w:w="557"/>
        <w:gridCol w:w="5531"/>
        <w:gridCol w:w="2410"/>
        <w:gridCol w:w="1561"/>
        <w:gridCol w:w="4959"/>
      </w:tblGrid>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w:t>
            </w: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Мероприятие по снижению рисков</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Исполнители (структурное подразделение)</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Срок исполнения</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Результат исполнения</w:t>
            </w: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Осуществление правовой экспертизы проектов нормативных правовых актов и проектов правовых актов департамента имущественных и земельных отношений Воронежской области (далее – департамент) на предмет соответствия их антимонопольному законодательству</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постоянно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EC09E8">
            <w:pPr>
              <w:shd w:val="clear" w:color="auto" w:fill="FFFFFF"/>
              <w:spacing w:after="0" w:line="240" w:lineRule="auto"/>
              <w:rPr>
                <w:rFonts w:ascii="Times New Roman" w:hAnsi="Times New Roman" w:cs="Times New Roman"/>
                <w:sz w:val="24"/>
                <w:szCs w:val="28"/>
              </w:rPr>
            </w:pPr>
            <w:r w:rsidRPr="00197EBF">
              <w:rPr>
                <w:rFonts w:ascii="Times New Roman" w:eastAsia="Times New Roman" w:hAnsi="Times New Roman" w:cs="Times New Roman"/>
                <w:color w:val="000000"/>
                <w:sz w:val="24"/>
                <w:szCs w:val="28"/>
                <w:lang w:eastAsia="ru-RU"/>
              </w:rPr>
              <w:t>За 202</w:t>
            </w:r>
            <w:r w:rsidR="00316017">
              <w:rPr>
                <w:rFonts w:ascii="Times New Roman" w:eastAsia="Times New Roman" w:hAnsi="Times New Roman" w:cs="Times New Roman"/>
                <w:color w:val="000000"/>
                <w:sz w:val="24"/>
                <w:szCs w:val="28"/>
                <w:lang w:eastAsia="ru-RU"/>
              </w:rPr>
              <w:t>2</w:t>
            </w:r>
            <w:r w:rsidRPr="00197EBF">
              <w:rPr>
                <w:rFonts w:ascii="Times New Roman" w:eastAsia="Times New Roman" w:hAnsi="Times New Roman" w:cs="Times New Roman"/>
                <w:color w:val="000000"/>
                <w:sz w:val="24"/>
                <w:szCs w:val="28"/>
                <w:lang w:eastAsia="ru-RU"/>
              </w:rPr>
              <w:t xml:space="preserve"> год </w:t>
            </w:r>
            <w:r w:rsidRPr="00F51FA8">
              <w:rPr>
                <w:rFonts w:ascii="Times New Roman" w:eastAsia="Times New Roman" w:hAnsi="Times New Roman" w:cs="Times New Roman"/>
                <w:color w:val="000000"/>
                <w:sz w:val="24"/>
                <w:szCs w:val="28"/>
                <w:lang w:eastAsia="ru-RU"/>
              </w:rPr>
              <w:t xml:space="preserve">отделом правового обеспечения департамента </w:t>
            </w:r>
            <w:r w:rsidRPr="00197EBF">
              <w:rPr>
                <w:rFonts w:ascii="Times New Roman" w:eastAsia="Times New Roman" w:hAnsi="Times New Roman" w:cs="Times New Roman"/>
                <w:color w:val="000000"/>
                <w:sz w:val="24"/>
                <w:szCs w:val="28"/>
                <w:lang w:eastAsia="ru-RU"/>
              </w:rPr>
              <w:t>проведена антикоррупционная экспертиза</w:t>
            </w:r>
            <w:r w:rsidRPr="00F51FA8">
              <w:rPr>
                <w:rFonts w:ascii="Times New Roman" w:eastAsia="Times New Roman" w:hAnsi="Times New Roman" w:cs="Times New Roman"/>
                <w:color w:val="000000"/>
                <w:sz w:val="24"/>
                <w:szCs w:val="28"/>
                <w:lang w:eastAsia="ru-RU"/>
              </w:rPr>
              <w:t xml:space="preserve"> </w:t>
            </w:r>
            <w:r w:rsidRPr="00197EBF">
              <w:rPr>
                <w:rFonts w:ascii="Times New Roman" w:eastAsia="Times New Roman" w:hAnsi="Times New Roman" w:cs="Times New Roman"/>
                <w:color w:val="000000"/>
                <w:sz w:val="24"/>
                <w:szCs w:val="28"/>
                <w:lang w:eastAsia="ru-RU"/>
              </w:rPr>
              <w:t xml:space="preserve">в отношении </w:t>
            </w:r>
            <w:r w:rsidR="00EC09E8">
              <w:rPr>
                <w:rFonts w:ascii="Times New Roman" w:eastAsia="Times New Roman" w:hAnsi="Times New Roman" w:cs="Times New Roman"/>
                <w:color w:val="000000"/>
                <w:sz w:val="24"/>
                <w:szCs w:val="28"/>
                <w:lang w:eastAsia="ru-RU"/>
              </w:rPr>
              <w:t>80</w:t>
            </w:r>
            <w:r w:rsidRPr="00197EBF">
              <w:rPr>
                <w:rFonts w:ascii="Times New Roman" w:eastAsia="Times New Roman" w:hAnsi="Times New Roman" w:cs="Times New Roman"/>
                <w:color w:val="000000"/>
                <w:sz w:val="24"/>
                <w:szCs w:val="28"/>
                <w:lang w:eastAsia="ru-RU"/>
              </w:rPr>
              <w:t xml:space="preserve"> проектов правовых актов</w:t>
            </w:r>
            <w:r w:rsidRPr="00F51FA8">
              <w:rPr>
                <w:rFonts w:ascii="Times New Roman" w:eastAsia="Times New Roman" w:hAnsi="Times New Roman" w:cs="Times New Roman"/>
                <w:color w:val="000000"/>
                <w:sz w:val="24"/>
                <w:szCs w:val="28"/>
                <w:lang w:eastAsia="ru-RU"/>
              </w:rPr>
              <w:t xml:space="preserve"> департамента. По результатам проверки антикоррупционных факторов и фактов нарушения антимонопольного законодательства не выявлено.</w:t>
            </w: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Мониторинг и анализ практики применения антимонопольного законодательства, рисков нарушения антимонопольного законодательства</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постоянно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Отделом правового обеспечения на постоянной основе проводится мониторинг и анализ практики применения антимонопольного законодательства, судебной практики в подведомственной сфере. Данная информация доводится до сведения заинтересованных сотрудников департамента.</w:t>
            </w: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 xml:space="preserve">Размещение на официальном сайте департамента проектов нормативных правовых актов департамента и нормативных правовых актов департамента </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Отдел программного управления, анализа и мониторинга</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rPr>
                <w:sz w:val="24"/>
              </w:rPr>
            </w:pPr>
            <w:r w:rsidRPr="00F51FA8">
              <w:rPr>
                <w:rFonts w:ascii="Times New Roman" w:hAnsi="Times New Roman" w:cs="Times New Roman"/>
                <w:sz w:val="24"/>
                <w:szCs w:val="28"/>
              </w:rPr>
              <w:t>постоянно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197EBF" w:rsidRDefault="00F51FA8" w:rsidP="00957952">
            <w:pPr>
              <w:shd w:val="clear" w:color="auto" w:fill="FFFFFF"/>
              <w:spacing w:after="0" w:line="240" w:lineRule="auto"/>
              <w:rPr>
                <w:rFonts w:ascii="Times New Roman" w:hAnsi="Times New Roman" w:cs="Times New Roman"/>
                <w:sz w:val="24"/>
                <w:szCs w:val="28"/>
              </w:rPr>
            </w:pPr>
            <w:r w:rsidRPr="00F51FA8">
              <w:rPr>
                <w:rFonts w:ascii="Times New Roman" w:hAnsi="Times New Roman" w:cs="Times New Roman"/>
                <w:sz w:val="24"/>
                <w:szCs w:val="28"/>
              </w:rPr>
              <w:t xml:space="preserve">Все проекты нормативных </w:t>
            </w:r>
            <w:r w:rsidRPr="00197EBF">
              <w:rPr>
                <w:rFonts w:ascii="Times New Roman" w:hAnsi="Times New Roman" w:cs="Times New Roman"/>
                <w:sz w:val="24"/>
                <w:szCs w:val="28"/>
              </w:rPr>
              <w:t>правовых актов, разработанные департаментом, размещаются в</w:t>
            </w:r>
            <w:r w:rsidRPr="00F51FA8">
              <w:rPr>
                <w:rFonts w:ascii="Times New Roman" w:hAnsi="Times New Roman" w:cs="Times New Roman"/>
                <w:sz w:val="24"/>
                <w:szCs w:val="28"/>
              </w:rPr>
              <w:t xml:space="preserve"> </w:t>
            </w:r>
            <w:r w:rsidRPr="00197EBF">
              <w:rPr>
                <w:rFonts w:ascii="Times New Roman" w:hAnsi="Times New Roman" w:cs="Times New Roman"/>
                <w:sz w:val="24"/>
                <w:szCs w:val="28"/>
              </w:rPr>
              <w:t>информационной системе «Портал Воронежской области в сети</w:t>
            </w:r>
            <w:r w:rsidRPr="00F51FA8">
              <w:rPr>
                <w:rFonts w:ascii="Times New Roman" w:hAnsi="Times New Roman" w:cs="Times New Roman"/>
                <w:sz w:val="24"/>
                <w:szCs w:val="28"/>
              </w:rPr>
              <w:t xml:space="preserve"> </w:t>
            </w:r>
            <w:r w:rsidRPr="00197EBF">
              <w:rPr>
                <w:rFonts w:ascii="Times New Roman" w:hAnsi="Times New Roman" w:cs="Times New Roman"/>
                <w:sz w:val="24"/>
                <w:szCs w:val="28"/>
              </w:rPr>
              <w:t>Интернет» и на</w:t>
            </w:r>
            <w:r w:rsidRPr="00F51FA8">
              <w:rPr>
                <w:rFonts w:ascii="Times New Roman" w:hAnsi="Times New Roman" w:cs="Times New Roman"/>
                <w:sz w:val="24"/>
                <w:szCs w:val="28"/>
              </w:rPr>
              <w:t xml:space="preserve"> </w:t>
            </w:r>
            <w:r w:rsidRPr="00197EBF">
              <w:rPr>
                <w:rFonts w:ascii="Times New Roman" w:hAnsi="Times New Roman" w:cs="Times New Roman"/>
                <w:sz w:val="24"/>
                <w:szCs w:val="28"/>
              </w:rPr>
              <w:t>официальном сайте департамента в разделе «Проекты нормативных и</w:t>
            </w:r>
          </w:p>
          <w:p w:rsidR="00F51FA8" w:rsidRPr="00197EBF" w:rsidRDefault="00F51FA8" w:rsidP="00957952">
            <w:pPr>
              <w:shd w:val="clear" w:color="auto" w:fill="FFFFFF"/>
              <w:spacing w:after="0" w:line="240" w:lineRule="auto"/>
              <w:rPr>
                <w:rFonts w:ascii="Times New Roman" w:hAnsi="Times New Roman" w:cs="Times New Roman"/>
                <w:sz w:val="24"/>
                <w:szCs w:val="28"/>
              </w:rPr>
            </w:pPr>
            <w:r w:rsidRPr="00197EBF">
              <w:rPr>
                <w:rFonts w:ascii="Times New Roman" w:hAnsi="Times New Roman" w:cs="Times New Roman"/>
                <w:sz w:val="24"/>
                <w:szCs w:val="28"/>
              </w:rPr>
              <w:t>правовых актов».</w:t>
            </w:r>
          </w:p>
          <w:p w:rsidR="00F51FA8" w:rsidRPr="00197EBF" w:rsidRDefault="00F51FA8" w:rsidP="00957952">
            <w:pPr>
              <w:shd w:val="clear" w:color="auto" w:fill="FFFFFF"/>
              <w:spacing w:after="0" w:line="240" w:lineRule="auto"/>
              <w:rPr>
                <w:rFonts w:ascii="Times New Roman" w:hAnsi="Times New Roman" w:cs="Times New Roman"/>
                <w:sz w:val="24"/>
                <w:szCs w:val="28"/>
              </w:rPr>
            </w:pPr>
            <w:r w:rsidRPr="00197EBF">
              <w:rPr>
                <w:rFonts w:ascii="Times New Roman" w:hAnsi="Times New Roman" w:cs="Times New Roman"/>
                <w:sz w:val="24"/>
                <w:szCs w:val="28"/>
              </w:rPr>
              <w:t>Кроме того, принятые нормативные правовые акты департамента</w:t>
            </w:r>
          </w:p>
          <w:p w:rsidR="00F51FA8" w:rsidRPr="00F51FA8" w:rsidRDefault="00F51FA8" w:rsidP="00957952">
            <w:pPr>
              <w:shd w:val="clear" w:color="auto" w:fill="FFFFFF"/>
              <w:spacing w:after="0" w:line="240" w:lineRule="auto"/>
              <w:rPr>
                <w:rFonts w:ascii="Times New Roman" w:hAnsi="Times New Roman" w:cs="Times New Roman"/>
                <w:sz w:val="24"/>
                <w:szCs w:val="28"/>
              </w:rPr>
            </w:pPr>
            <w:r w:rsidRPr="00197EBF">
              <w:rPr>
                <w:rFonts w:ascii="Times New Roman" w:hAnsi="Times New Roman" w:cs="Times New Roman"/>
                <w:sz w:val="24"/>
                <w:szCs w:val="28"/>
              </w:rPr>
              <w:lastRenderedPageBreak/>
              <w:t>размещаются на официальном сайте департамента в разделе</w:t>
            </w:r>
            <w:r w:rsidRPr="00F51FA8">
              <w:rPr>
                <w:rFonts w:ascii="Times New Roman" w:hAnsi="Times New Roman" w:cs="Times New Roman"/>
                <w:sz w:val="24"/>
                <w:szCs w:val="28"/>
              </w:rPr>
              <w:t xml:space="preserve"> </w:t>
            </w:r>
            <w:r w:rsidRPr="00197EBF">
              <w:rPr>
                <w:rFonts w:ascii="Times New Roman" w:hAnsi="Times New Roman" w:cs="Times New Roman"/>
                <w:sz w:val="24"/>
                <w:szCs w:val="28"/>
              </w:rPr>
              <w:t>«Нормативные акты, изданные департаментом»</w:t>
            </w:r>
            <w:r w:rsidRPr="00F51FA8">
              <w:rPr>
                <w:rFonts w:ascii="Times New Roman" w:hAnsi="Times New Roman" w:cs="Times New Roman"/>
                <w:sz w:val="24"/>
                <w:szCs w:val="28"/>
              </w:rPr>
              <w:t>.</w:t>
            </w: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Наличие административных регламентов предоставления государственных услуг, оказываемых департаментом. Приведение их в соответствие действующему законодательству</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Структурные подразделения департамента, осуществляющие оказание государственных услуг</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rPr>
                <w:sz w:val="24"/>
              </w:rPr>
            </w:pPr>
            <w:r w:rsidRPr="00F51FA8">
              <w:rPr>
                <w:rFonts w:ascii="Times New Roman" w:hAnsi="Times New Roman" w:cs="Times New Roman"/>
                <w:sz w:val="24"/>
                <w:szCs w:val="28"/>
              </w:rPr>
              <w:t>постоянно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316017">
            <w:pPr>
              <w:shd w:val="clear" w:color="auto" w:fill="FFFFFF"/>
              <w:spacing w:after="0" w:line="240" w:lineRule="auto"/>
              <w:rPr>
                <w:rFonts w:ascii="Times New Roman" w:hAnsi="Times New Roman" w:cs="Times New Roman"/>
                <w:sz w:val="24"/>
                <w:szCs w:val="28"/>
              </w:rPr>
            </w:pPr>
            <w:r w:rsidRPr="00F51FA8">
              <w:rPr>
                <w:rFonts w:ascii="Times New Roman" w:hAnsi="Times New Roman" w:cs="Times New Roman"/>
                <w:sz w:val="24"/>
                <w:szCs w:val="28"/>
              </w:rPr>
              <w:t>Департамент оказывает 2</w:t>
            </w:r>
            <w:r w:rsidR="00316017">
              <w:rPr>
                <w:rFonts w:ascii="Times New Roman" w:hAnsi="Times New Roman" w:cs="Times New Roman"/>
                <w:sz w:val="24"/>
                <w:szCs w:val="28"/>
              </w:rPr>
              <w:t>1</w:t>
            </w:r>
            <w:r w:rsidRPr="00F51FA8">
              <w:rPr>
                <w:rFonts w:ascii="Times New Roman" w:hAnsi="Times New Roman" w:cs="Times New Roman"/>
                <w:sz w:val="24"/>
                <w:szCs w:val="28"/>
              </w:rPr>
              <w:t xml:space="preserve"> государственн</w:t>
            </w:r>
            <w:r w:rsidR="00316017">
              <w:rPr>
                <w:rFonts w:ascii="Times New Roman" w:hAnsi="Times New Roman" w:cs="Times New Roman"/>
                <w:sz w:val="24"/>
                <w:szCs w:val="28"/>
              </w:rPr>
              <w:t>ую</w:t>
            </w:r>
            <w:r w:rsidRPr="00F51FA8">
              <w:rPr>
                <w:rFonts w:ascii="Times New Roman" w:hAnsi="Times New Roman" w:cs="Times New Roman"/>
                <w:sz w:val="24"/>
                <w:szCs w:val="28"/>
              </w:rPr>
              <w:t xml:space="preserve"> услуг</w:t>
            </w:r>
            <w:r w:rsidR="00316017">
              <w:rPr>
                <w:rFonts w:ascii="Times New Roman" w:hAnsi="Times New Roman" w:cs="Times New Roman"/>
                <w:sz w:val="24"/>
                <w:szCs w:val="28"/>
              </w:rPr>
              <w:t>у</w:t>
            </w:r>
            <w:r w:rsidRPr="00F51FA8">
              <w:rPr>
                <w:rFonts w:ascii="Times New Roman" w:hAnsi="Times New Roman" w:cs="Times New Roman"/>
                <w:sz w:val="24"/>
                <w:szCs w:val="28"/>
              </w:rPr>
              <w:t>. По всем услугам утверждены административные регламенты, которые своевременно корректируются в соответствии с изменениями действующего законодательства.</w:t>
            </w: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Сбор сведений в структурных подразделениях департамента о наличии выявленных контрольными органами нарушений антимонопольного законодательства.</w:t>
            </w:r>
          </w:p>
          <w:p w:rsidR="00F51FA8" w:rsidRPr="00F51FA8" w:rsidRDefault="00F51FA8" w:rsidP="00904B01">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 xml:space="preserve">Анализ выявленных нарушений антимонопольного законодательства за </w:t>
            </w:r>
            <w:r w:rsidR="00904B01">
              <w:rPr>
                <w:rFonts w:ascii="Times New Roman" w:hAnsi="Times New Roman" w:cs="Times New Roman"/>
                <w:sz w:val="24"/>
                <w:szCs w:val="28"/>
              </w:rPr>
              <w:t>отчетный период</w:t>
            </w:r>
            <w:r w:rsidRPr="00F51FA8">
              <w:rPr>
                <w:rFonts w:ascii="Times New Roman" w:hAnsi="Times New Roman" w:cs="Times New Roman"/>
                <w:sz w:val="24"/>
                <w:szCs w:val="28"/>
              </w:rPr>
              <w:t xml:space="preserve"> (наличие предостережений, предупреждений, штрафов, жалоб, возбужденных дел)</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Отдел правового обеспечения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904B01" w:rsidP="0095795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ежегодно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В 202</w:t>
            </w:r>
            <w:r w:rsidR="00316017">
              <w:rPr>
                <w:rFonts w:ascii="Times New Roman" w:hAnsi="Times New Roman" w:cs="Times New Roman"/>
                <w:sz w:val="24"/>
                <w:szCs w:val="28"/>
              </w:rPr>
              <w:t>2</w:t>
            </w:r>
            <w:r w:rsidRPr="00F51FA8">
              <w:rPr>
                <w:rFonts w:ascii="Times New Roman" w:hAnsi="Times New Roman" w:cs="Times New Roman"/>
                <w:sz w:val="24"/>
                <w:szCs w:val="28"/>
              </w:rPr>
              <w:t xml:space="preserve"> году антимонопольные органы проверку деятельности департамента не осуществляли. </w:t>
            </w:r>
          </w:p>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Предостережений, предупреждений от антимонопольного органа в департамент не поступало.</w:t>
            </w:r>
          </w:p>
          <w:p w:rsidR="00F51FA8" w:rsidRPr="00F51FA8" w:rsidRDefault="00F51FA8" w:rsidP="00957952">
            <w:pPr>
              <w:spacing w:after="0" w:line="240" w:lineRule="auto"/>
              <w:rPr>
                <w:rFonts w:ascii="Times New Roman" w:hAnsi="Times New Roman" w:cs="Times New Roman"/>
                <w:sz w:val="24"/>
                <w:szCs w:val="28"/>
              </w:rPr>
            </w:pPr>
          </w:p>
        </w:tc>
      </w:tr>
      <w:tr w:rsidR="00F51FA8" w:rsidRPr="00F51FA8" w:rsidTr="00957952">
        <w:tc>
          <w:tcPr>
            <w:tcW w:w="5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F27C1B">
            <w:pPr>
              <w:pStyle w:val="aa"/>
              <w:numPr>
                <w:ilvl w:val="0"/>
                <w:numId w:val="2"/>
              </w:numPr>
              <w:tabs>
                <w:tab w:val="left" w:pos="410"/>
              </w:tabs>
              <w:spacing w:after="0" w:line="240" w:lineRule="auto"/>
              <w:rPr>
                <w:rFonts w:ascii="Times New Roman" w:hAnsi="Times New Roman" w:cs="Times New Roman"/>
                <w:sz w:val="24"/>
                <w:szCs w:val="28"/>
              </w:rPr>
            </w:pPr>
          </w:p>
        </w:tc>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51FA8" w:rsidP="0095795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 xml:space="preserve">Организация повышения квалификации работников департамента по вопросам применения антимонопольного законодательства и организации антимонопольного </w:t>
            </w:r>
            <w:proofErr w:type="spellStart"/>
            <w:r w:rsidRPr="00F51FA8">
              <w:rPr>
                <w:rFonts w:ascii="Times New Roman" w:hAnsi="Times New Roman" w:cs="Times New Roman"/>
                <w:sz w:val="24"/>
                <w:szCs w:val="28"/>
              </w:rPr>
              <w:t>комплаенса</w:t>
            </w:r>
            <w:proofErr w:type="spellEnd"/>
            <w:r w:rsidR="00FE00D7">
              <w:rPr>
                <w:rFonts w:ascii="Times New Roman" w:hAnsi="Times New Roman" w:cs="Times New Roman"/>
                <w:sz w:val="24"/>
                <w:szCs w:val="28"/>
              </w:rPr>
              <w:t>.</w:t>
            </w:r>
            <w:r w:rsidR="00FE00D7" w:rsidRPr="00F51FA8">
              <w:rPr>
                <w:rFonts w:ascii="Times New Roman" w:hAnsi="Times New Roman" w:cs="Times New Roman"/>
                <w:sz w:val="24"/>
                <w:szCs w:val="28"/>
              </w:rPr>
              <w:t xml:space="preserve"> Систематическое повышение квалификации работников контрактной службы. Анализ изменений, вносимых в законодательство о закупках</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E00D7" w:rsidRDefault="00F51FA8" w:rsidP="00957952">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Отдел контроля, документационного обеспечения и организац</w:t>
            </w:r>
            <w:r w:rsidR="00FE00D7">
              <w:rPr>
                <w:rFonts w:ascii="Times New Roman" w:hAnsi="Times New Roman" w:cs="Times New Roman"/>
                <w:sz w:val="24"/>
                <w:szCs w:val="28"/>
              </w:rPr>
              <w:t xml:space="preserve">ии работы с обращениями граждан, </w:t>
            </w:r>
          </w:p>
          <w:p w:rsidR="00F51FA8" w:rsidRPr="00F51FA8" w:rsidRDefault="00FE00D7" w:rsidP="0095795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отдел регулирования рекламной деятельности и организации закупок</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1FA8" w:rsidRPr="00F51FA8" w:rsidRDefault="00F51FA8" w:rsidP="00FE00D7">
            <w:pPr>
              <w:spacing w:after="0" w:line="240" w:lineRule="auto"/>
              <w:jc w:val="center"/>
              <w:rPr>
                <w:rFonts w:ascii="Times New Roman" w:hAnsi="Times New Roman" w:cs="Times New Roman"/>
                <w:sz w:val="24"/>
                <w:szCs w:val="28"/>
              </w:rPr>
            </w:pPr>
            <w:r w:rsidRPr="00F51FA8">
              <w:rPr>
                <w:rFonts w:ascii="Times New Roman" w:hAnsi="Times New Roman" w:cs="Times New Roman"/>
                <w:sz w:val="24"/>
                <w:szCs w:val="28"/>
              </w:rPr>
              <w:t>постоянно</w:t>
            </w:r>
          </w:p>
        </w:tc>
        <w:tc>
          <w:tcPr>
            <w:tcW w:w="4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1FA8" w:rsidRPr="00F51FA8" w:rsidRDefault="00FE00D7" w:rsidP="006C46B2">
            <w:pPr>
              <w:spacing w:after="0" w:line="240" w:lineRule="auto"/>
              <w:rPr>
                <w:rFonts w:ascii="Times New Roman" w:hAnsi="Times New Roman" w:cs="Times New Roman"/>
                <w:sz w:val="24"/>
                <w:szCs w:val="28"/>
              </w:rPr>
            </w:pPr>
            <w:r w:rsidRPr="00F51FA8">
              <w:rPr>
                <w:rFonts w:ascii="Times New Roman" w:hAnsi="Times New Roman" w:cs="Times New Roman"/>
                <w:sz w:val="24"/>
                <w:szCs w:val="28"/>
              </w:rPr>
              <w:t>В 202</w:t>
            </w:r>
            <w:r>
              <w:rPr>
                <w:rFonts w:ascii="Times New Roman" w:hAnsi="Times New Roman" w:cs="Times New Roman"/>
                <w:sz w:val="24"/>
                <w:szCs w:val="28"/>
              </w:rPr>
              <w:t>2</w:t>
            </w:r>
            <w:r w:rsidRPr="00F51FA8">
              <w:rPr>
                <w:rFonts w:ascii="Times New Roman" w:hAnsi="Times New Roman" w:cs="Times New Roman"/>
                <w:sz w:val="24"/>
                <w:szCs w:val="28"/>
              </w:rPr>
              <w:t xml:space="preserve"> году </w:t>
            </w:r>
            <w:r>
              <w:rPr>
                <w:rFonts w:ascii="Times New Roman" w:hAnsi="Times New Roman" w:cs="Times New Roman"/>
                <w:sz w:val="24"/>
                <w:szCs w:val="28"/>
              </w:rPr>
              <w:t>6</w:t>
            </w:r>
            <w:r w:rsidRPr="00F51FA8">
              <w:rPr>
                <w:rFonts w:ascii="Times New Roman" w:hAnsi="Times New Roman" w:cs="Times New Roman"/>
                <w:sz w:val="24"/>
                <w:szCs w:val="28"/>
              </w:rPr>
              <w:t xml:space="preserve"> работник</w:t>
            </w:r>
            <w:r>
              <w:rPr>
                <w:rFonts w:ascii="Times New Roman" w:hAnsi="Times New Roman" w:cs="Times New Roman"/>
                <w:sz w:val="24"/>
                <w:szCs w:val="28"/>
              </w:rPr>
              <w:t>ов</w:t>
            </w:r>
            <w:r w:rsidRPr="00F51FA8">
              <w:rPr>
                <w:rFonts w:ascii="Times New Roman" w:hAnsi="Times New Roman" w:cs="Times New Roman"/>
                <w:sz w:val="24"/>
                <w:szCs w:val="28"/>
              </w:rPr>
              <w:t xml:space="preserve"> контрактной службы департамента прош</w:t>
            </w:r>
            <w:r>
              <w:rPr>
                <w:rFonts w:ascii="Times New Roman" w:hAnsi="Times New Roman" w:cs="Times New Roman"/>
                <w:sz w:val="24"/>
                <w:szCs w:val="28"/>
              </w:rPr>
              <w:t>ли</w:t>
            </w:r>
            <w:r w:rsidRPr="00F51FA8">
              <w:rPr>
                <w:rFonts w:ascii="Times New Roman" w:hAnsi="Times New Roman" w:cs="Times New Roman"/>
                <w:sz w:val="24"/>
                <w:szCs w:val="28"/>
              </w:rPr>
              <w:t xml:space="preserve"> повышение квалификации в сфере закупок товаров, работ, услуг для обеспечения государственных и муниципальных нужд</w:t>
            </w:r>
          </w:p>
        </w:tc>
      </w:tr>
    </w:tbl>
    <w:p w:rsidR="007440FF" w:rsidRPr="007440FF" w:rsidRDefault="007440FF" w:rsidP="007440FF">
      <w:pPr>
        <w:tabs>
          <w:tab w:val="left" w:pos="8260"/>
        </w:tabs>
        <w:rPr>
          <w:rFonts w:ascii="Times New Roman" w:hAnsi="Times New Roman" w:cs="Times New Roman"/>
          <w:sz w:val="28"/>
          <w:szCs w:val="28"/>
        </w:rPr>
        <w:sectPr w:rsidR="007440FF" w:rsidRPr="007440FF" w:rsidSect="00F27C1B">
          <w:pgSz w:w="16839" w:h="11907" w:orient="landscape" w:code="9"/>
          <w:pgMar w:top="1276" w:right="1134" w:bottom="567" w:left="1418" w:header="709" w:footer="709" w:gutter="0"/>
          <w:cols w:space="708"/>
          <w:titlePg/>
          <w:docGrid w:linePitch="360"/>
        </w:sectPr>
      </w:pPr>
    </w:p>
    <w:p w:rsidR="006C3F2D" w:rsidRDefault="006C3F2D" w:rsidP="006C3F2D">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73637">
        <w:rPr>
          <w:rFonts w:ascii="Times New Roman" w:hAnsi="Times New Roman" w:cs="Times New Roman"/>
          <w:sz w:val="28"/>
          <w:szCs w:val="28"/>
        </w:rPr>
        <w:t xml:space="preserve"> </w:t>
      </w:r>
      <w:r w:rsidR="00F51FA8">
        <w:rPr>
          <w:rFonts w:ascii="Times New Roman" w:hAnsi="Times New Roman" w:cs="Times New Roman"/>
          <w:sz w:val="28"/>
          <w:szCs w:val="28"/>
        </w:rPr>
        <w:t>4</w:t>
      </w:r>
    </w:p>
    <w:p w:rsidR="007C32D4" w:rsidRPr="007C32D4" w:rsidRDefault="007C32D4" w:rsidP="007C32D4">
      <w:pPr>
        <w:spacing w:after="0" w:line="240" w:lineRule="auto"/>
        <w:ind w:firstLine="709"/>
        <w:jc w:val="center"/>
        <w:rPr>
          <w:rFonts w:ascii="Times New Roman" w:hAnsi="Times New Roman" w:cs="Times New Roman"/>
          <w:b/>
          <w:sz w:val="28"/>
          <w:szCs w:val="28"/>
        </w:rPr>
      </w:pPr>
      <w:r w:rsidRPr="007C32D4">
        <w:rPr>
          <w:rFonts w:ascii="Times New Roman" w:hAnsi="Times New Roman" w:cs="Times New Roman"/>
          <w:b/>
          <w:sz w:val="28"/>
          <w:szCs w:val="28"/>
        </w:rPr>
        <w:t>Ключевые показатели эффективности</w:t>
      </w:r>
    </w:p>
    <w:p w:rsidR="007C32D4" w:rsidRPr="007C32D4" w:rsidRDefault="007C32D4" w:rsidP="007C32D4">
      <w:pPr>
        <w:spacing w:after="0" w:line="240" w:lineRule="auto"/>
        <w:ind w:firstLine="709"/>
        <w:jc w:val="center"/>
        <w:rPr>
          <w:rFonts w:ascii="Times New Roman" w:hAnsi="Times New Roman" w:cs="Times New Roman"/>
          <w:b/>
          <w:sz w:val="28"/>
          <w:szCs w:val="28"/>
        </w:rPr>
      </w:pPr>
      <w:r w:rsidRPr="007C32D4">
        <w:rPr>
          <w:rFonts w:ascii="Times New Roman" w:hAnsi="Times New Roman" w:cs="Times New Roman"/>
          <w:b/>
          <w:sz w:val="28"/>
          <w:szCs w:val="28"/>
        </w:rPr>
        <w:t xml:space="preserve">антимонопольного </w:t>
      </w:r>
      <w:proofErr w:type="spellStart"/>
      <w:r w:rsidRPr="007C32D4">
        <w:rPr>
          <w:rFonts w:ascii="Times New Roman" w:hAnsi="Times New Roman" w:cs="Times New Roman"/>
          <w:b/>
          <w:sz w:val="28"/>
          <w:szCs w:val="28"/>
        </w:rPr>
        <w:t>комплаенса</w:t>
      </w:r>
      <w:proofErr w:type="spellEnd"/>
      <w:r w:rsidRPr="007C32D4">
        <w:rPr>
          <w:rFonts w:ascii="Times New Roman" w:hAnsi="Times New Roman" w:cs="Times New Roman"/>
          <w:b/>
          <w:sz w:val="28"/>
          <w:szCs w:val="28"/>
        </w:rPr>
        <w:t xml:space="preserve"> в департаменте имущественных и земельных отношений Воронежской области на 20</w:t>
      </w:r>
      <w:r w:rsidR="00EE5D05">
        <w:rPr>
          <w:rFonts w:ascii="Times New Roman" w:hAnsi="Times New Roman" w:cs="Times New Roman"/>
          <w:b/>
          <w:sz w:val="28"/>
          <w:szCs w:val="28"/>
        </w:rPr>
        <w:t>2</w:t>
      </w:r>
      <w:r w:rsidR="00D34EDF">
        <w:rPr>
          <w:rFonts w:ascii="Times New Roman" w:hAnsi="Times New Roman" w:cs="Times New Roman"/>
          <w:b/>
          <w:sz w:val="28"/>
          <w:szCs w:val="28"/>
        </w:rPr>
        <w:t>2</w:t>
      </w:r>
      <w:r w:rsidRPr="007C32D4">
        <w:rPr>
          <w:rFonts w:ascii="Times New Roman" w:hAnsi="Times New Roman" w:cs="Times New Roman"/>
          <w:b/>
          <w:sz w:val="28"/>
          <w:szCs w:val="28"/>
        </w:rPr>
        <w:t xml:space="preserve"> год</w:t>
      </w:r>
    </w:p>
    <w:p w:rsidR="007C32D4" w:rsidRPr="007C32D4" w:rsidRDefault="007C32D4" w:rsidP="007C32D4">
      <w:pPr>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477"/>
        <w:gridCol w:w="1134"/>
        <w:gridCol w:w="1701"/>
        <w:gridCol w:w="1701"/>
      </w:tblGrid>
      <w:tr w:rsidR="00304894" w:rsidRPr="00652516" w:rsidTr="00304894">
        <w:tc>
          <w:tcPr>
            <w:tcW w:w="621" w:type="dxa"/>
            <w:shd w:val="clear" w:color="auto" w:fill="auto"/>
          </w:tcPr>
          <w:p w:rsidR="00304894" w:rsidRPr="00652516" w:rsidRDefault="00304894" w:rsidP="007C32D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 п/п</w:t>
            </w:r>
          </w:p>
        </w:tc>
        <w:tc>
          <w:tcPr>
            <w:tcW w:w="4477" w:type="dxa"/>
            <w:shd w:val="clear" w:color="auto" w:fill="auto"/>
          </w:tcPr>
          <w:p w:rsidR="00304894" w:rsidRPr="00652516" w:rsidRDefault="00304894" w:rsidP="007C32D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Наименование показателей</w:t>
            </w:r>
          </w:p>
        </w:tc>
        <w:tc>
          <w:tcPr>
            <w:tcW w:w="1134" w:type="dxa"/>
            <w:shd w:val="clear" w:color="auto" w:fill="auto"/>
          </w:tcPr>
          <w:p w:rsidR="00304894" w:rsidRPr="00652516" w:rsidRDefault="00304894" w:rsidP="007C32D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Единица измерения</w:t>
            </w:r>
          </w:p>
        </w:tc>
        <w:tc>
          <w:tcPr>
            <w:tcW w:w="1701" w:type="dxa"/>
            <w:shd w:val="clear" w:color="auto" w:fill="auto"/>
          </w:tcPr>
          <w:p w:rsidR="00304894" w:rsidRPr="00652516" w:rsidRDefault="00304894" w:rsidP="00D34EDF">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Целевое значение показателя на 20</w:t>
            </w:r>
            <w:r w:rsidR="00EE5D05">
              <w:rPr>
                <w:rFonts w:ascii="Times New Roman" w:hAnsi="Times New Roman" w:cs="Times New Roman"/>
                <w:sz w:val="24"/>
                <w:szCs w:val="24"/>
              </w:rPr>
              <w:t>2</w:t>
            </w:r>
            <w:r w:rsidR="00D34EDF">
              <w:rPr>
                <w:rFonts w:ascii="Times New Roman" w:hAnsi="Times New Roman" w:cs="Times New Roman"/>
                <w:sz w:val="24"/>
                <w:szCs w:val="24"/>
              </w:rPr>
              <w:t>2</w:t>
            </w:r>
            <w:r w:rsidRPr="00652516">
              <w:rPr>
                <w:rFonts w:ascii="Times New Roman" w:hAnsi="Times New Roman" w:cs="Times New Roman"/>
                <w:sz w:val="24"/>
                <w:szCs w:val="24"/>
              </w:rPr>
              <w:t xml:space="preserve"> год</w:t>
            </w:r>
          </w:p>
        </w:tc>
        <w:tc>
          <w:tcPr>
            <w:tcW w:w="1701" w:type="dxa"/>
          </w:tcPr>
          <w:p w:rsidR="00304894" w:rsidRPr="00652516" w:rsidRDefault="00304894" w:rsidP="00D34EDF">
            <w:pPr>
              <w:spacing w:after="0" w:line="240" w:lineRule="auto"/>
              <w:ind w:left="-108" w:right="-108"/>
              <w:jc w:val="center"/>
              <w:rPr>
                <w:rFonts w:ascii="Times New Roman" w:hAnsi="Times New Roman" w:cs="Times New Roman"/>
                <w:sz w:val="24"/>
                <w:szCs w:val="24"/>
              </w:rPr>
            </w:pPr>
            <w:r w:rsidRPr="00652516">
              <w:rPr>
                <w:rFonts w:ascii="Times New Roman" w:hAnsi="Times New Roman" w:cs="Times New Roman"/>
                <w:sz w:val="24"/>
                <w:szCs w:val="24"/>
              </w:rPr>
              <w:t>Фактическое значение показателя по итогам 20</w:t>
            </w:r>
            <w:r w:rsidR="00EE5D05">
              <w:rPr>
                <w:rFonts w:ascii="Times New Roman" w:hAnsi="Times New Roman" w:cs="Times New Roman"/>
                <w:sz w:val="24"/>
                <w:szCs w:val="24"/>
              </w:rPr>
              <w:t>2</w:t>
            </w:r>
            <w:r w:rsidR="00D34EDF">
              <w:rPr>
                <w:rFonts w:ascii="Times New Roman" w:hAnsi="Times New Roman" w:cs="Times New Roman"/>
                <w:sz w:val="24"/>
                <w:szCs w:val="24"/>
              </w:rPr>
              <w:t>2</w:t>
            </w:r>
            <w:r w:rsidRPr="00652516">
              <w:rPr>
                <w:rFonts w:ascii="Times New Roman" w:hAnsi="Times New Roman" w:cs="Times New Roman"/>
                <w:sz w:val="24"/>
                <w:szCs w:val="24"/>
              </w:rPr>
              <w:t xml:space="preserve"> года</w:t>
            </w:r>
          </w:p>
        </w:tc>
      </w:tr>
      <w:tr w:rsidR="00304894" w:rsidRPr="00652516" w:rsidTr="00304894">
        <w:tc>
          <w:tcPr>
            <w:tcW w:w="9634" w:type="dxa"/>
            <w:gridSpan w:val="5"/>
            <w:shd w:val="clear" w:color="auto" w:fill="auto"/>
          </w:tcPr>
          <w:p w:rsidR="00304894" w:rsidRPr="00652516" w:rsidRDefault="00304894" w:rsidP="00304894">
            <w:pPr>
              <w:spacing w:after="0" w:line="240" w:lineRule="auto"/>
              <w:jc w:val="center"/>
              <w:rPr>
                <w:rFonts w:ascii="Times New Roman" w:hAnsi="Times New Roman" w:cs="Times New Roman"/>
                <w:b/>
                <w:i/>
                <w:sz w:val="24"/>
                <w:szCs w:val="24"/>
              </w:rPr>
            </w:pPr>
            <w:r w:rsidRPr="00652516">
              <w:rPr>
                <w:rFonts w:ascii="Times New Roman" w:hAnsi="Times New Roman" w:cs="Times New Roman"/>
                <w:b/>
                <w:i/>
                <w:sz w:val="24"/>
                <w:szCs w:val="24"/>
              </w:rPr>
              <w:t>Ключевые показатели эффективности для департамента имущественных и земельных отношений Воронежской области</w:t>
            </w:r>
          </w:p>
        </w:tc>
      </w:tr>
      <w:tr w:rsidR="00304894" w:rsidRPr="00652516" w:rsidTr="00304894">
        <w:tc>
          <w:tcPr>
            <w:tcW w:w="621" w:type="dxa"/>
            <w:shd w:val="clear" w:color="auto" w:fill="auto"/>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c>
          <w:tcPr>
            <w:tcW w:w="4477"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Коэффициент снижения количества нарушений антимонопольного законодательства со</w:t>
            </w:r>
            <w:bookmarkStart w:id="0" w:name="_GoBack"/>
            <w:bookmarkEnd w:id="0"/>
            <w:r w:rsidRPr="00652516">
              <w:rPr>
                <w:rFonts w:ascii="Times New Roman" w:hAnsi="Times New Roman" w:cs="Times New Roman"/>
                <w:sz w:val="24"/>
                <w:szCs w:val="24"/>
              </w:rPr>
              <w:t xml:space="preserve"> стороны департамента имущественных и земельных отношений Воронежской области относительно уровня 2017 года </w:t>
            </w:r>
          </w:p>
        </w:tc>
        <w:tc>
          <w:tcPr>
            <w:tcW w:w="1134"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p>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коэффициент</w:t>
            </w:r>
          </w:p>
        </w:tc>
        <w:tc>
          <w:tcPr>
            <w:tcW w:w="1701" w:type="dxa"/>
            <w:shd w:val="clear" w:color="auto" w:fill="auto"/>
            <w:vAlign w:val="center"/>
          </w:tcPr>
          <w:p w:rsidR="00304894" w:rsidRPr="00652516" w:rsidRDefault="00EE5D05" w:rsidP="00304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304894" w:rsidRPr="00652516" w:rsidRDefault="00EE5D05" w:rsidP="00304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04894" w:rsidRPr="00652516" w:rsidTr="00304894">
        <w:tc>
          <w:tcPr>
            <w:tcW w:w="621" w:type="dxa"/>
            <w:shd w:val="clear" w:color="auto" w:fill="auto"/>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2</w:t>
            </w:r>
          </w:p>
        </w:tc>
        <w:tc>
          <w:tcPr>
            <w:tcW w:w="4477"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Доля проектов нормативных правовых актов департамента имущественных и земельных отношений Воронежской области, в которых выявлены риски нарушения антимонопольного законодательства</w:t>
            </w:r>
          </w:p>
        </w:tc>
        <w:tc>
          <w:tcPr>
            <w:tcW w:w="1134"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p>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коэффициент</w:t>
            </w:r>
          </w:p>
        </w:tc>
        <w:tc>
          <w:tcPr>
            <w:tcW w:w="1701" w:type="dxa"/>
            <w:shd w:val="clear" w:color="auto" w:fill="auto"/>
            <w:vAlign w:val="center"/>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c>
          <w:tcPr>
            <w:tcW w:w="1701" w:type="dxa"/>
            <w:vAlign w:val="center"/>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r>
      <w:tr w:rsidR="00304894" w:rsidRPr="00652516" w:rsidTr="00304894">
        <w:tc>
          <w:tcPr>
            <w:tcW w:w="621" w:type="dxa"/>
            <w:shd w:val="clear" w:color="auto" w:fill="auto"/>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3</w:t>
            </w:r>
          </w:p>
        </w:tc>
        <w:tc>
          <w:tcPr>
            <w:tcW w:w="4477"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Доля нормативных правовых актов департамента имущественных и земельных отношений Воронежской области, в которых выявлены риски нарушения антимонопольного законодательства</w:t>
            </w:r>
          </w:p>
        </w:tc>
        <w:tc>
          <w:tcPr>
            <w:tcW w:w="1134"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p>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коэффициент</w:t>
            </w:r>
          </w:p>
        </w:tc>
        <w:tc>
          <w:tcPr>
            <w:tcW w:w="1701" w:type="dxa"/>
            <w:shd w:val="clear" w:color="auto" w:fill="auto"/>
            <w:vAlign w:val="center"/>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c>
          <w:tcPr>
            <w:tcW w:w="1701" w:type="dxa"/>
            <w:vAlign w:val="center"/>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r>
      <w:tr w:rsidR="00304894" w:rsidRPr="00652516" w:rsidTr="00304894">
        <w:tc>
          <w:tcPr>
            <w:tcW w:w="621" w:type="dxa"/>
            <w:shd w:val="clear" w:color="auto" w:fill="auto"/>
          </w:tcPr>
          <w:p w:rsidR="00304894" w:rsidRPr="00652516" w:rsidRDefault="00304894" w:rsidP="007C32D4">
            <w:pPr>
              <w:spacing w:after="0" w:line="240" w:lineRule="auto"/>
              <w:ind w:firstLine="709"/>
              <w:jc w:val="both"/>
              <w:rPr>
                <w:rFonts w:ascii="Times New Roman" w:hAnsi="Times New Roman" w:cs="Times New Roman"/>
                <w:sz w:val="24"/>
                <w:szCs w:val="24"/>
              </w:rPr>
            </w:pPr>
          </w:p>
        </w:tc>
        <w:tc>
          <w:tcPr>
            <w:tcW w:w="9013" w:type="dxa"/>
            <w:gridSpan w:val="4"/>
            <w:shd w:val="clear" w:color="auto" w:fill="auto"/>
          </w:tcPr>
          <w:p w:rsidR="00304894" w:rsidRPr="00652516" w:rsidRDefault="00304894" w:rsidP="007C32D4">
            <w:pPr>
              <w:spacing w:after="0" w:line="240" w:lineRule="auto"/>
              <w:jc w:val="center"/>
              <w:rPr>
                <w:rFonts w:ascii="Times New Roman" w:hAnsi="Times New Roman" w:cs="Times New Roman"/>
                <w:b/>
                <w:i/>
                <w:sz w:val="24"/>
                <w:szCs w:val="24"/>
              </w:rPr>
            </w:pPr>
            <w:r w:rsidRPr="00652516">
              <w:rPr>
                <w:rFonts w:ascii="Times New Roman" w:hAnsi="Times New Roman" w:cs="Times New Roman"/>
                <w:b/>
                <w:i/>
                <w:sz w:val="24"/>
                <w:szCs w:val="24"/>
              </w:rPr>
              <w:t>Ключевые показатели эффективности для уполномоченного подразделения</w:t>
            </w:r>
          </w:p>
        </w:tc>
      </w:tr>
      <w:tr w:rsidR="00304894" w:rsidRPr="00652516" w:rsidTr="00304894">
        <w:tc>
          <w:tcPr>
            <w:tcW w:w="621" w:type="dxa"/>
            <w:shd w:val="clear" w:color="auto" w:fill="auto"/>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1</w:t>
            </w:r>
          </w:p>
        </w:tc>
        <w:tc>
          <w:tcPr>
            <w:tcW w:w="4477" w:type="dxa"/>
            <w:shd w:val="clear" w:color="auto" w:fill="auto"/>
          </w:tcPr>
          <w:p w:rsidR="00304894" w:rsidRPr="00652516" w:rsidRDefault="00304894" w:rsidP="007C32D4">
            <w:pPr>
              <w:spacing w:after="0" w:line="240" w:lineRule="auto"/>
              <w:jc w:val="both"/>
              <w:rPr>
                <w:rFonts w:ascii="Times New Roman" w:hAnsi="Times New Roman" w:cs="Times New Roman"/>
                <w:sz w:val="24"/>
                <w:szCs w:val="24"/>
              </w:rPr>
            </w:pPr>
            <w:r w:rsidRPr="00652516">
              <w:rPr>
                <w:rFonts w:ascii="Times New Roman" w:hAnsi="Times New Roman" w:cs="Times New Roman"/>
                <w:sz w:val="24"/>
                <w:szCs w:val="24"/>
              </w:rPr>
              <w:t xml:space="preserve">Доля сотрудников департамента имущественных и земельных отношений Воронежской области, в отношении которых были проведены обучающие мероприятия по антимонопольному законодательству и антимонопольному </w:t>
            </w:r>
            <w:proofErr w:type="spellStart"/>
            <w:r w:rsidRPr="00652516">
              <w:rPr>
                <w:rFonts w:ascii="Times New Roman" w:hAnsi="Times New Roman" w:cs="Times New Roman"/>
                <w:sz w:val="24"/>
                <w:szCs w:val="24"/>
              </w:rPr>
              <w:t>комплаенсу</w:t>
            </w:r>
            <w:proofErr w:type="spellEnd"/>
          </w:p>
        </w:tc>
        <w:tc>
          <w:tcPr>
            <w:tcW w:w="1134" w:type="dxa"/>
            <w:shd w:val="clear" w:color="auto" w:fill="auto"/>
          </w:tcPr>
          <w:p w:rsidR="00304894" w:rsidRPr="00652516" w:rsidRDefault="00304894" w:rsidP="00304894">
            <w:pPr>
              <w:spacing w:after="0" w:line="240" w:lineRule="auto"/>
              <w:ind w:left="-108" w:right="-108"/>
              <w:jc w:val="both"/>
              <w:rPr>
                <w:rFonts w:ascii="Times New Roman" w:hAnsi="Times New Roman" w:cs="Times New Roman"/>
                <w:sz w:val="24"/>
                <w:szCs w:val="24"/>
              </w:rPr>
            </w:pPr>
          </w:p>
          <w:p w:rsidR="00304894" w:rsidRPr="00652516" w:rsidRDefault="00304894" w:rsidP="00304894">
            <w:pPr>
              <w:spacing w:after="0" w:line="240" w:lineRule="auto"/>
              <w:ind w:left="-108" w:right="-108"/>
              <w:jc w:val="center"/>
              <w:rPr>
                <w:rFonts w:ascii="Times New Roman" w:hAnsi="Times New Roman" w:cs="Times New Roman"/>
                <w:sz w:val="24"/>
                <w:szCs w:val="24"/>
              </w:rPr>
            </w:pPr>
            <w:r w:rsidRPr="00652516">
              <w:rPr>
                <w:rFonts w:ascii="Times New Roman" w:hAnsi="Times New Roman" w:cs="Times New Roman"/>
                <w:sz w:val="24"/>
                <w:szCs w:val="24"/>
              </w:rPr>
              <w:t>процент</w:t>
            </w:r>
          </w:p>
        </w:tc>
        <w:tc>
          <w:tcPr>
            <w:tcW w:w="1701" w:type="dxa"/>
            <w:shd w:val="clear" w:color="auto" w:fill="auto"/>
            <w:vAlign w:val="center"/>
          </w:tcPr>
          <w:p w:rsidR="00304894" w:rsidRPr="00652516" w:rsidRDefault="00304894" w:rsidP="00304894">
            <w:pPr>
              <w:spacing w:after="0" w:line="240" w:lineRule="auto"/>
              <w:jc w:val="center"/>
              <w:rPr>
                <w:rFonts w:ascii="Times New Roman" w:hAnsi="Times New Roman" w:cs="Times New Roman"/>
                <w:sz w:val="24"/>
                <w:szCs w:val="24"/>
              </w:rPr>
            </w:pPr>
            <w:r w:rsidRPr="00652516">
              <w:rPr>
                <w:rFonts w:ascii="Times New Roman" w:hAnsi="Times New Roman" w:cs="Times New Roman"/>
                <w:sz w:val="24"/>
                <w:szCs w:val="24"/>
              </w:rPr>
              <w:t>не менее</w:t>
            </w:r>
          </w:p>
          <w:p w:rsidR="00304894" w:rsidRPr="00652516" w:rsidRDefault="00B021AB" w:rsidP="00304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04894" w:rsidRPr="00652516">
              <w:rPr>
                <w:rFonts w:ascii="Times New Roman" w:hAnsi="Times New Roman" w:cs="Times New Roman"/>
                <w:sz w:val="24"/>
                <w:szCs w:val="24"/>
              </w:rPr>
              <w:t>%</w:t>
            </w:r>
          </w:p>
        </w:tc>
        <w:tc>
          <w:tcPr>
            <w:tcW w:w="1701" w:type="dxa"/>
            <w:vAlign w:val="center"/>
          </w:tcPr>
          <w:p w:rsidR="00304894" w:rsidRPr="00652516" w:rsidRDefault="00FE00D7" w:rsidP="00304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bl>
    <w:p w:rsidR="007C32D4" w:rsidRDefault="007C32D4" w:rsidP="000A271B">
      <w:pPr>
        <w:ind w:firstLine="709"/>
        <w:jc w:val="both"/>
        <w:rPr>
          <w:rFonts w:ascii="Times New Roman" w:hAnsi="Times New Roman" w:cs="Times New Roman"/>
          <w:sz w:val="28"/>
          <w:szCs w:val="28"/>
        </w:rPr>
      </w:pPr>
    </w:p>
    <w:p w:rsidR="00502465" w:rsidRDefault="00502465" w:rsidP="000A271B">
      <w:pPr>
        <w:ind w:firstLine="709"/>
        <w:jc w:val="both"/>
        <w:rPr>
          <w:rFonts w:ascii="Times New Roman" w:hAnsi="Times New Roman" w:cs="Times New Roman"/>
          <w:b/>
          <w:i/>
          <w:sz w:val="28"/>
          <w:szCs w:val="28"/>
        </w:rPr>
      </w:pPr>
    </w:p>
    <w:p w:rsidR="00502465" w:rsidRDefault="00502465" w:rsidP="000A271B">
      <w:pPr>
        <w:ind w:firstLine="709"/>
        <w:jc w:val="both"/>
        <w:rPr>
          <w:rFonts w:ascii="Times New Roman" w:hAnsi="Times New Roman" w:cs="Times New Roman"/>
          <w:b/>
          <w:i/>
          <w:sz w:val="28"/>
          <w:szCs w:val="28"/>
        </w:rPr>
      </w:pPr>
    </w:p>
    <w:p w:rsidR="00502465" w:rsidRDefault="00502465" w:rsidP="000A271B">
      <w:pPr>
        <w:ind w:firstLine="709"/>
        <w:jc w:val="both"/>
        <w:rPr>
          <w:rFonts w:ascii="Times New Roman" w:hAnsi="Times New Roman" w:cs="Times New Roman"/>
          <w:b/>
          <w:i/>
          <w:sz w:val="28"/>
          <w:szCs w:val="28"/>
        </w:rPr>
      </w:pPr>
    </w:p>
    <w:p w:rsidR="00502465" w:rsidRDefault="00502465" w:rsidP="000A271B">
      <w:pPr>
        <w:ind w:firstLine="709"/>
        <w:jc w:val="both"/>
        <w:rPr>
          <w:rFonts w:ascii="Times New Roman" w:hAnsi="Times New Roman" w:cs="Times New Roman"/>
          <w:b/>
          <w:i/>
          <w:sz w:val="28"/>
          <w:szCs w:val="28"/>
        </w:rPr>
      </w:pPr>
    </w:p>
    <w:sectPr w:rsidR="00502465" w:rsidSect="00D73300">
      <w:pgSz w:w="11907" w:h="16839"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F1" w:rsidRDefault="001A26F1" w:rsidP="00D73300">
      <w:pPr>
        <w:spacing w:after="0" w:line="240" w:lineRule="auto"/>
      </w:pPr>
      <w:r>
        <w:separator/>
      </w:r>
    </w:p>
  </w:endnote>
  <w:endnote w:type="continuationSeparator" w:id="0">
    <w:p w:rsidR="001A26F1" w:rsidRDefault="001A26F1" w:rsidP="00D7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F1" w:rsidRDefault="001A26F1" w:rsidP="00D73300">
      <w:pPr>
        <w:spacing w:after="0" w:line="240" w:lineRule="auto"/>
      </w:pPr>
      <w:r>
        <w:separator/>
      </w:r>
    </w:p>
  </w:footnote>
  <w:footnote w:type="continuationSeparator" w:id="0">
    <w:p w:rsidR="001A26F1" w:rsidRDefault="001A26F1" w:rsidP="00D7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00776"/>
      <w:docPartObj>
        <w:docPartGallery w:val="Page Numbers (Top of Page)"/>
        <w:docPartUnique/>
      </w:docPartObj>
    </w:sdtPr>
    <w:sdtEndPr>
      <w:rPr>
        <w:rFonts w:ascii="Times New Roman" w:hAnsi="Times New Roman" w:cs="Times New Roman"/>
        <w:sz w:val="24"/>
        <w:szCs w:val="24"/>
      </w:rPr>
    </w:sdtEndPr>
    <w:sdtContent>
      <w:p w:rsidR="00D73300" w:rsidRPr="00D73300" w:rsidRDefault="00D73300">
        <w:pPr>
          <w:pStyle w:val="a4"/>
          <w:jc w:val="center"/>
          <w:rPr>
            <w:rFonts w:ascii="Times New Roman" w:hAnsi="Times New Roman" w:cs="Times New Roman"/>
            <w:sz w:val="24"/>
            <w:szCs w:val="24"/>
          </w:rPr>
        </w:pPr>
        <w:r w:rsidRPr="00D73300">
          <w:rPr>
            <w:rFonts w:ascii="Times New Roman" w:hAnsi="Times New Roman" w:cs="Times New Roman"/>
            <w:sz w:val="24"/>
            <w:szCs w:val="24"/>
          </w:rPr>
          <w:fldChar w:fldCharType="begin"/>
        </w:r>
        <w:r w:rsidRPr="00D73300">
          <w:rPr>
            <w:rFonts w:ascii="Times New Roman" w:hAnsi="Times New Roman" w:cs="Times New Roman"/>
            <w:sz w:val="24"/>
            <w:szCs w:val="24"/>
          </w:rPr>
          <w:instrText>PAGE   \* MERGEFORMAT</w:instrText>
        </w:r>
        <w:r w:rsidRPr="00D73300">
          <w:rPr>
            <w:rFonts w:ascii="Times New Roman" w:hAnsi="Times New Roman" w:cs="Times New Roman"/>
            <w:sz w:val="24"/>
            <w:szCs w:val="24"/>
          </w:rPr>
          <w:fldChar w:fldCharType="separate"/>
        </w:r>
        <w:r w:rsidR="00511347">
          <w:rPr>
            <w:rFonts w:ascii="Times New Roman" w:hAnsi="Times New Roman" w:cs="Times New Roman"/>
            <w:noProof/>
            <w:sz w:val="24"/>
            <w:szCs w:val="24"/>
          </w:rPr>
          <w:t>11</w:t>
        </w:r>
        <w:r w:rsidRPr="00D73300">
          <w:rPr>
            <w:rFonts w:ascii="Times New Roman" w:hAnsi="Times New Roman" w:cs="Times New Roman"/>
            <w:sz w:val="24"/>
            <w:szCs w:val="24"/>
          </w:rPr>
          <w:fldChar w:fldCharType="end"/>
        </w:r>
      </w:p>
    </w:sdtContent>
  </w:sdt>
  <w:p w:rsidR="00D73300" w:rsidRDefault="00D733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4556B"/>
    <w:multiLevelType w:val="hybridMultilevel"/>
    <w:tmpl w:val="4E768F1A"/>
    <w:lvl w:ilvl="0" w:tplc="486835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211E27"/>
    <w:multiLevelType w:val="hybridMultilevel"/>
    <w:tmpl w:val="E8D4B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BB"/>
    <w:rsid w:val="00067235"/>
    <w:rsid w:val="00067EE9"/>
    <w:rsid w:val="00074DB0"/>
    <w:rsid w:val="000A271B"/>
    <w:rsid w:val="000B5BD3"/>
    <w:rsid w:val="00116B88"/>
    <w:rsid w:val="00131CF5"/>
    <w:rsid w:val="00132B53"/>
    <w:rsid w:val="00143308"/>
    <w:rsid w:val="00147DA3"/>
    <w:rsid w:val="00154ABC"/>
    <w:rsid w:val="001A26F1"/>
    <w:rsid w:val="001B3BB4"/>
    <w:rsid w:val="001C5F65"/>
    <w:rsid w:val="001D03C8"/>
    <w:rsid w:val="001E04A7"/>
    <w:rsid w:val="001E2A79"/>
    <w:rsid w:val="002424C3"/>
    <w:rsid w:val="002447EF"/>
    <w:rsid w:val="0024618D"/>
    <w:rsid w:val="002504F9"/>
    <w:rsid w:val="002746A2"/>
    <w:rsid w:val="002A7BE1"/>
    <w:rsid w:val="002B074C"/>
    <w:rsid w:val="002C438D"/>
    <w:rsid w:val="002C49B9"/>
    <w:rsid w:val="002D4AC5"/>
    <w:rsid w:val="00304894"/>
    <w:rsid w:val="00316017"/>
    <w:rsid w:val="0032312F"/>
    <w:rsid w:val="00380D8C"/>
    <w:rsid w:val="003C7D74"/>
    <w:rsid w:val="003D02FA"/>
    <w:rsid w:val="003D18F5"/>
    <w:rsid w:val="00423C6E"/>
    <w:rsid w:val="004264D3"/>
    <w:rsid w:val="004950D2"/>
    <w:rsid w:val="004B0544"/>
    <w:rsid w:val="004E0D3D"/>
    <w:rsid w:val="004F68BC"/>
    <w:rsid w:val="004F73F1"/>
    <w:rsid w:val="00502465"/>
    <w:rsid w:val="005055B7"/>
    <w:rsid w:val="00511347"/>
    <w:rsid w:val="0052325B"/>
    <w:rsid w:val="005252F1"/>
    <w:rsid w:val="005514EC"/>
    <w:rsid w:val="005517DC"/>
    <w:rsid w:val="0058532F"/>
    <w:rsid w:val="00652516"/>
    <w:rsid w:val="00663EE0"/>
    <w:rsid w:val="006657CF"/>
    <w:rsid w:val="00674C78"/>
    <w:rsid w:val="006844B1"/>
    <w:rsid w:val="006A4288"/>
    <w:rsid w:val="006B6659"/>
    <w:rsid w:val="006C3F2D"/>
    <w:rsid w:val="006C46B2"/>
    <w:rsid w:val="006F502B"/>
    <w:rsid w:val="00715E71"/>
    <w:rsid w:val="0072093B"/>
    <w:rsid w:val="007440FF"/>
    <w:rsid w:val="0078195C"/>
    <w:rsid w:val="007C32D4"/>
    <w:rsid w:val="007D2C73"/>
    <w:rsid w:val="007D6F6A"/>
    <w:rsid w:val="007F1458"/>
    <w:rsid w:val="0081628A"/>
    <w:rsid w:val="008505DF"/>
    <w:rsid w:val="008C4C53"/>
    <w:rsid w:val="008D33E1"/>
    <w:rsid w:val="00904B01"/>
    <w:rsid w:val="00952207"/>
    <w:rsid w:val="00957952"/>
    <w:rsid w:val="00970983"/>
    <w:rsid w:val="00A37114"/>
    <w:rsid w:val="00A43E32"/>
    <w:rsid w:val="00A577B5"/>
    <w:rsid w:val="00A709F8"/>
    <w:rsid w:val="00A74D9A"/>
    <w:rsid w:val="00A95970"/>
    <w:rsid w:val="00AC21BA"/>
    <w:rsid w:val="00AE4C84"/>
    <w:rsid w:val="00AF5278"/>
    <w:rsid w:val="00B021AB"/>
    <w:rsid w:val="00B144E1"/>
    <w:rsid w:val="00B30EFA"/>
    <w:rsid w:val="00B316C3"/>
    <w:rsid w:val="00B34347"/>
    <w:rsid w:val="00BA5ED2"/>
    <w:rsid w:val="00BD1D9B"/>
    <w:rsid w:val="00BE301A"/>
    <w:rsid w:val="00C31BD0"/>
    <w:rsid w:val="00C6282B"/>
    <w:rsid w:val="00C93C8A"/>
    <w:rsid w:val="00CF2A95"/>
    <w:rsid w:val="00D00326"/>
    <w:rsid w:val="00D224D4"/>
    <w:rsid w:val="00D246BB"/>
    <w:rsid w:val="00D258ED"/>
    <w:rsid w:val="00D34EDF"/>
    <w:rsid w:val="00D410D5"/>
    <w:rsid w:val="00D50A3F"/>
    <w:rsid w:val="00D73300"/>
    <w:rsid w:val="00D75ED7"/>
    <w:rsid w:val="00DF1DB2"/>
    <w:rsid w:val="00E075BE"/>
    <w:rsid w:val="00E46034"/>
    <w:rsid w:val="00E4697B"/>
    <w:rsid w:val="00E60980"/>
    <w:rsid w:val="00EA5C16"/>
    <w:rsid w:val="00EC09E8"/>
    <w:rsid w:val="00EE5D05"/>
    <w:rsid w:val="00F143FB"/>
    <w:rsid w:val="00F27C1B"/>
    <w:rsid w:val="00F32501"/>
    <w:rsid w:val="00F479EB"/>
    <w:rsid w:val="00F51FA8"/>
    <w:rsid w:val="00F54FB0"/>
    <w:rsid w:val="00F71438"/>
    <w:rsid w:val="00F73637"/>
    <w:rsid w:val="00F83128"/>
    <w:rsid w:val="00F85635"/>
    <w:rsid w:val="00F86FCB"/>
    <w:rsid w:val="00FE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F275-3006-411E-9570-E2A70C4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300"/>
  </w:style>
  <w:style w:type="paragraph" w:styleId="a6">
    <w:name w:val="footer"/>
    <w:basedOn w:val="a"/>
    <w:link w:val="a7"/>
    <w:uiPriority w:val="99"/>
    <w:unhideWhenUsed/>
    <w:rsid w:val="00D733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300"/>
  </w:style>
  <w:style w:type="paragraph" w:styleId="a8">
    <w:name w:val="Balloon Text"/>
    <w:basedOn w:val="a"/>
    <w:link w:val="a9"/>
    <w:uiPriority w:val="99"/>
    <w:semiHidden/>
    <w:unhideWhenUsed/>
    <w:rsid w:val="006C3F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F2D"/>
    <w:rPr>
      <w:rFonts w:ascii="Segoe UI" w:hAnsi="Segoe UI" w:cs="Segoe UI"/>
      <w:sz w:val="18"/>
      <w:szCs w:val="18"/>
    </w:rPr>
  </w:style>
  <w:style w:type="paragraph" w:styleId="aa">
    <w:name w:val="List Paragraph"/>
    <w:basedOn w:val="a"/>
    <w:uiPriority w:val="34"/>
    <w:qFormat/>
    <w:rsid w:val="007440FF"/>
    <w:pPr>
      <w:ind w:left="720"/>
      <w:contextualSpacing/>
    </w:pPr>
  </w:style>
  <w:style w:type="character" w:styleId="ab">
    <w:name w:val="Hyperlink"/>
    <w:basedOn w:val="a0"/>
    <w:uiPriority w:val="99"/>
    <w:unhideWhenUsed/>
    <w:rsid w:val="007F1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10101">
      <w:bodyDiv w:val="1"/>
      <w:marLeft w:val="0"/>
      <w:marRight w:val="0"/>
      <w:marTop w:val="0"/>
      <w:marBottom w:val="0"/>
      <w:divBdr>
        <w:top w:val="none" w:sz="0" w:space="0" w:color="auto"/>
        <w:left w:val="none" w:sz="0" w:space="0" w:color="auto"/>
        <w:bottom w:val="none" w:sz="0" w:space="0" w:color="auto"/>
        <w:right w:val="none" w:sz="0" w:space="0" w:color="auto"/>
      </w:divBdr>
    </w:div>
    <w:div w:id="21422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3</cp:revision>
  <cp:lastPrinted>2022-12-13T05:45:00Z</cp:lastPrinted>
  <dcterms:created xsi:type="dcterms:W3CDTF">2022-12-20T07:30:00Z</dcterms:created>
  <dcterms:modified xsi:type="dcterms:W3CDTF">2022-12-20T07:36:00Z</dcterms:modified>
</cp:coreProperties>
</file>