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6E6382" w:rsidRDefault="006E6382" w:rsidP="006E638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E6382" w:rsidRPr="00524F48" w:rsidRDefault="006E6382" w:rsidP="006E63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2858">
        <w:rPr>
          <w:rFonts w:ascii="Times New Roman" w:hAnsi="Times New Roman" w:cs="Times New Roman"/>
          <w:b/>
          <w:sz w:val="24"/>
          <w:szCs w:val="24"/>
        </w:rPr>
        <w:t>Реестровый номер торгов 2018 -161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7F2858" w:rsidRDefault="007F2858" w:rsidP="007F28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7F2858" w:rsidRDefault="007F2858" w:rsidP="007F28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858" w:rsidRDefault="007F2858" w:rsidP="007F285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9D101A">
        <w:rPr>
          <w:rFonts w:ascii="Times New Roman" w:hAnsi="Times New Roman"/>
          <w:sz w:val="24"/>
          <w:szCs w:val="24"/>
        </w:rPr>
        <w:t>11</w:t>
      </w:r>
      <w:r w:rsidRPr="00103BFC">
        <w:rPr>
          <w:rFonts w:ascii="Times New Roman" w:hAnsi="Times New Roman"/>
          <w:sz w:val="24"/>
          <w:szCs w:val="24"/>
        </w:rPr>
        <w:t>.</w:t>
      </w:r>
      <w:r w:rsidR="009D101A">
        <w:rPr>
          <w:rFonts w:ascii="Times New Roman" w:hAnsi="Times New Roman"/>
          <w:sz w:val="24"/>
          <w:szCs w:val="24"/>
        </w:rPr>
        <w:t>12</w:t>
      </w:r>
      <w:r w:rsidRPr="00103BFC">
        <w:rPr>
          <w:rFonts w:ascii="Times New Roman" w:hAnsi="Times New Roman"/>
          <w:sz w:val="24"/>
          <w:szCs w:val="24"/>
        </w:rPr>
        <w:t>.20</w:t>
      </w:r>
      <w:r w:rsidR="009D101A">
        <w:rPr>
          <w:rFonts w:ascii="Times New Roman" w:hAnsi="Times New Roman"/>
          <w:sz w:val="24"/>
          <w:szCs w:val="24"/>
        </w:rPr>
        <w:t>18</w:t>
      </w:r>
      <w:r w:rsidRPr="00103BFC">
        <w:rPr>
          <w:rFonts w:ascii="Times New Roman" w:hAnsi="Times New Roman"/>
          <w:sz w:val="24"/>
          <w:szCs w:val="24"/>
        </w:rPr>
        <w:t xml:space="preserve"> № </w:t>
      </w:r>
      <w:r w:rsidR="009D101A">
        <w:rPr>
          <w:rFonts w:ascii="Times New Roman" w:hAnsi="Times New Roman"/>
          <w:sz w:val="24"/>
          <w:szCs w:val="24"/>
        </w:rPr>
        <w:t>3046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7F2858" w:rsidRPr="00031820" w:rsidRDefault="007F2858" w:rsidP="007F2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03182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31820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7F2858" w:rsidRPr="00031820" w:rsidRDefault="007F2858" w:rsidP="007F2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7F2858" w:rsidRPr="00031820" w:rsidRDefault="007F2858" w:rsidP="007F2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 xml:space="preserve">Дата начала приема заявок – 19 декабря 2018 г. </w:t>
      </w:r>
    </w:p>
    <w:p w:rsidR="007F2858" w:rsidRPr="00031820" w:rsidRDefault="007F2858" w:rsidP="007F2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Дата и время окончания приема заявок –  01 февраля 2019 г. в 11 часов 00 минут.</w:t>
      </w:r>
    </w:p>
    <w:p w:rsidR="007F2858" w:rsidRPr="00031820" w:rsidRDefault="007F2858" w:rsidP="007F2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7F2858" w:rsidRPr="00031820" w:rsidRDefault="007F2858" w:rsidP="007F2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04 февраля 2019 г. по адресу: г. Воронеж, ул. Средне-Московская, 12, 2 этаж, зал проведения торгов.</w:t>
      </w:r>
    </w:p>
    <w:p w:rsidR="007F2858" w:rsidRPr="00031820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820">
        <w:rPr>
          <w:rFonts w:ascii="Times New Roman" w:hAnsi="Times New Roman" w:cs="Times New Roman"/>
          <w:sz w:val="24"/>
          <w:szCs w:val="24"/>
        </w:rPr>
        <w:t>Дата и время проведения аукциона – 06 февраля 2019 г.: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 минут,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25 минут.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7F2858" w:rsidRDefault="007F2858" w:rsidP="007F28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58" w:rsidRPr="008F4D56" w:rsidRDefault="007F2858" w:rsidP="007F2858">
      <w:pPr>
        <w:rPr>
          <w:rFonts w:ascii="Times New Roman" w:hAnsi="Times New Roman"/>
          <w:sz w:val="24"/>
          <w:szCs w:val="24"/>
        </w:rPr>
        <w:sectPr w:rsidR="007F2858" w:rsidRPr="008F4D56" w:rsidSect="001136C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7F2858" w:rsidRDefault="007F2858" w:rsidP="007F285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7F2858" w:rsidRDefault="007F2858" w:rsidP="007F285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7F2858" w:rsidRPr="001E5265" w:rsidTr="00A443D8">
        <w:trPr>
          <w:cantSplit/>
          <w:trHeight w:val="184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F2858" w:rsidRPr="001E5265" w:rsidRDefault="007F2858" w:rsidP="00A443D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F2858" w:rsidRPr="001E5265" w:rsidRDefault="007F2858" w:rsidP="00A443D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F2858" w:rsidRPr="001E5265" w:rsidRDefault="007F2858" w:rsidP="00A443D8">
            <w:pPr>
              <w:spacing w:line="192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F2858" w:rsidRPr="001E5265" w:rsidRDefault="007F2858" w:rsidP="00A443D8">
            <w:pPr>
              <w:spacing w:line="192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F2858" w:rsidRPr="001E5265" w:rsidRDefault="007F2858" w:rsidP="00A443D8">
            <w:pPr>
              <w:spacing w:line="192" w:lineRule="auto"/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F2858" w:rsidRPr="001E5265" w:rsidRDefault="007F2858" w:rsidP="00A443D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F2858" w:rsidRPr="001E5265" w:rsidRDefault="007F2858" w:rsidP="00A443D8">
            <w:pPr>
              <w:spacing w:line="192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7F2858" w:rsidRPr="001E5265" w:rsidRDefault="007F2858" w:rsidP="00A443D8">
            <w:pPr>
              <w:spacing w:line="192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7F2858" w:rsidRPr="001E5265" w:rsidTr="00A443D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E5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Верхнехавский</w:t>
            </w:r>
            <w:proofErr w:type="spellEnd"/>
            <w:r w:rsidRPr="001E5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7F2858" w:rsidRPr="001E5265" w:rsidTr="00A443D8">
        <w:trPr>
          <w:cantSplit/>
          <w:trHeight w:val="1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85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36:07:6700001:30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северо-восточная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239,00</w:t>
            </w:r>
          </w:p>
        </w:tc>
      </w:tr>
      <w:tr w:rsidR="007F2858" w:rsidRPr="001E5265" w:rsidTr="00A443D8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8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36:07:6700002:44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северо-западная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157,00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157,00</w:t>
            </w:r>
          </w:p>
        </w:tc>
      </w:tr>
      <w:tr w:rsidR="007F2858" w:rsidRPr="001E5265" w:rsidTr="00A443D8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7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36:07:6700001:31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восточная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7F2858" w:rsidRPr="001E5265" w:rsidTr="00A443D8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4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87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36:07:6700001:37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4 155 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расположен в центральной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</w:tr>
      <w:tr w:rsidR="007F2858" w:rsidRPr="001E5265" w:rsidTr="00A443D8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5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8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36:07:6700001:39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8 472 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центральной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7F2858" w:rsidRPr="001E5265" w:rsidTr="00A443D8">
        <w:trPr>
          <w:cantSplit/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6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36:07:6700001:38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23 650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центральной 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417,00</w:t>
            </w:r>
          </w:p>
        </w:tc>
      </w:tr>
      <w:tr w:rsidR="007F2858" w:rsidRPr="001E5265" w:rsidTr="00A443D8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7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87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36:07:6700001:35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16 204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центральной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286,00</w:t>
            </w:r>
          </w:p>
        </w:tc>
      </w:tr>
      <w:tr w:rsidR="007F2858" w:rsidRPr="001E5265" w:rsidTr="00A443D8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84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36:07:6700001:36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21 578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западной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A263A7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A263A7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381,00</w:t>
            </w:r>
          </w:p>
        </w:tc>
      </w:tr>
      <w:tr w:rsidR="007F2858" w:rsidRPr="001E5265" w:rsidTr="00A443D8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8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36:07:6700001:40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14 063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южной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248,00</w:t>
            </w:r>
          </w:p>
        </w:tc>
      </w:tr>
      <w:tr w:rsidR="007F2858" w:rsidRPr="001E5265" w:rsidTr="00A443D8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10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36:07:6700002:49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13 259 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центральной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234,00</w:t>
            </w:r>
          </w:p>
        </w:tc>
      </w:tr>
      <w:tr w:rsidR="007F2858" w:rsidRPr="001E5265" w:rsidTr="00A443D8">
        <w:trPr>
          <w:cantSplit/>
          <w:trHeight w:val="2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36:07:6700002:48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8 280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центральной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</w:tr>
      <w:tr w:rsidR="007F2858" w:rsidRPr="001E5265" w:rsidTr="00A443D8">
        <w:trPr>
          <w:cantSplit/>
          <w:trHeight w:val="4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36:07:6700002:50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21 175 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юго-восточной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</w:tr>
      <w:tr w:rsidR="007F2858" w:rsidRPr="001E5265" w:rsidTr="00A443D8">
        <w:trPr>
          <w:cantSplit/>
          <w:trHeight w:val="3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36:07:6700005:63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восточной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7F2858" w:rsidRPr="001E5265" w:rsidTr="00A443D8">
        <w:trPr>
          <w:cantSplit/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36:07:0000000:2339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13 432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южной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237,00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237,00</w:t>
            </w:r>
          </w:p>
        </w:tc>
      </w:tr>
      <w:tr w:rsidR="007F2858" w:rsidRPr="001E5265" w:rsidTr="00A443D8">
        <w:trPr>
          <w:cantSplit/>
          <w:trHeight w:val="3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1E52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7F2858" w:rsidRPr="001E5265" w:rsidTr="00A443D8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36:07:6700004:34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12 688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858" w:rsidRPr="001E5265" w:rsidRDefault="007F2858" w:rsidP="00A44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Нижнебайгорское</w:t>
            </w:r>
            <w:proofErr w:type="spellEnd"/>
            <w:r w:rsidRPr="001E52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южной части кадастрового квартала </w:t>
            </w:r>
            <w:r w:rsidRPr="001E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858" w:rsidRPr="001E5265" w:rsidRDefault="007F2858" w:rsidP="00A443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5">
              <w:rPr>
                <w:rFonts w:ascii="Times New Roman" w:hAnsi="Times New Roman" w:cs="Times New Roman"/>
                <w:sz w:val="24"/>
                <w:szCs w:val="24"/>
              </w:rPr>
              <w:t>224,00</w:t>
            </w:r>
          </w:p>
        </w:tc>
      </w:tr>
    </w:tbl>
    <w:p w:rsidR="007F2858" w:rsidRDefault="007F2858" w:rsidP="007F285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2858" w:rsidRDefault="007F2858" w:rsidP="007F28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F2858" w:rsidRDefault="007F2858" w:rsidP="007F28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1-15:</w:t>
      </w:r>
    </w:p>
    <w:p w:rsidR="007F2858" w:rsidRDefault="007F2858" w:rsidP="007F28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7F2858" w:rsidRDefault="007F2858" w:rsidP="007F28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Целевое назначение – защитные лесные насаждения.</w:t>
      </w:r>
    </w:p>
    <w:p w:rsidR="007F2858" w:rsidRDefault="007F2858" w:rsidP="007F28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7F2858" w:rsidRDefault="007F2858" w:rsidP="007F28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7F2858" w:rsidRDefault="007F2858" w:rsidP="007F28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7F2858" w:rsidRDefault="007F2858" w:rsidP="007F28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858" w:rsidRPr="00524F48" w:rsidRDefault="007F2858" w:rsidP="007F285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09D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 w:rsidRPr="00E860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609D">
        <w:rPr>
          <w:rFonts w:ascii="Times New Roman" w:hAnsi="Times New Roman" w:cs="Times New Roman"/>
          <w:sz w:val="24"/>
          <w:szCs w:val="24"/>
        </w:rPr>
        <w:t xml:space="preserve">/с 40302810420074000204 в Отделении Воронеж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8609D">
        <w:rPr>
          <w:rFonts w:ascii="Times New Roman" w:hAnsi="Times New Roman" w:cs="Times New Roman"/>
          <w:sz w:val="24"/>
          <w:szCs w:val="24"/>
        </w:rPr>
        <w:t>г. Воронеж, БИК 042007001.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7F2858" w:rsidRPr="00EE1DEE" w:rsidRDefault="007F2858" w:rsidP="007F2858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6581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65816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2018 – </w:t>
      </w:r>
      <w:r>
        <w:rPr>
          <w:rFonts w:ascii="Times New Roman" w:hAnsi="Times New Roman"/>
          <w:sz w:val="24"/>
          <w:szCs w:val="24"/>
        </w:rPr>
        <w:t>161</w:t>
      </w:r>
      <w:r w:rsidRPr="00C65816">
        <w:rPr>
          <w:rFonts w:ascii="Times New Roman" w:hAnsi="Times New Roman"/>
          <w:sz w:val="24"/>
          <w:szCs w:val="24"/>
        </w:rPr>
        <w:t>.</w:t>
      </w:r>
    </w:p>
    <w:p w:rsidR="007F2858" w:rsidRPr="00B3514A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7F2858" w:rsidRPr="00524F48" w:rsidRDefault="007F2858" w:rsidP="007F2858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7F2858" w:rsidRDefault="007F2858" w:rsidP="007F2858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6E6382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E7" w:rsidRDefault="00846BE7" w:rsidP="00225547">
      <w:r>
        <w:separator/>
      </w:r>
    </w:p>
  </w:endnote>
  <w:endnote w:type="continuationSeparator" w:id="0">
    <w:p w:rsidR="00846BE7" w:rsidRDefault="00846BE7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00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2858" w:rsidRPr="00B35B8B" w:rsidRDefault="007F285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638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A" w:rsidRPr="00D96704" w:rsidRDefault="0073289A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3" w:rsidRPr="002F11AF" w:rsidRDefault="00D6535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E6382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65353" w:rsidRDefault="00D653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E7" w:rsidRDefault="00846BE7" w:rsidP="00225547">
      <w:r>
        <w:separator/>
      </w:r>
    </w:p>
  </w:footnote>
  <w:footnote w:type="continuationSeparator" w:id="0">
    <w:p w:rsidR="00846BE7" w:rsidRDefault="00846BE7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30EF0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E6382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2858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46BE7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101A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3A7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4D65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0F6D9-FFC9-4AC8-8613-12961225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6260</Words>
  <Characters>35686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43</cp:revision>
  <cp:lastPrinted>2018-10-31T10:54:00Z</cp:lastPrinted>
  <dcterms:created xsi:type="dcterms:W3CDTF">2015-11-18T12:10:00Z</dcterms:created>
  <dcterms:modified xsi:type="dcterms:W3CDTF">2018-12-18T06:24:00Z</dcterms:modified>
</cp:coreProperties>
</file>