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 w:rsidRPr="00EC3950">
        <w:rPr>
          <w:rFonts w:ascii="Times New Roman" w:hAnsi="Times New Roman"/>
          <w:b/>
          <w:bCs/>
          <w:sz w:val="24"/>
          <w:szCs w:val="24"/>
        </w:rPr>
        <w:t>осуществления крестьянским (фермерским) хозяйством его деятельности,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346CE6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346CE6">
        <w:rPr>
          <w:rFonts w:ascii="Times New Roman" w:hAnsi="Times New Roman" w:cs="Times New Roman"/>
          <w:b/>
          <w:sz w:val="24"/>
          <w:szCs w:val="24"/>
        </w:rPr>
        <w:t>Россошанского</w:t>
      </w:r>
      <w:proofErr w:type="spellEnd"/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346CE6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2B6986" w:rsidRDefault="002B6986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986" w:rsidRPr="00524F48" w:rsidRDefault="002B6986" w:rsidP="002B69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1798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7164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97</w:t>
      </w:r>
    </w:p>
    <w:p w:rsidR="002B6986" w:rsidRPr="00AA1612" w:rsidRDefault="002B6986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EC3950" w:rsidRPr="00EC3950">
        <w:rPr>
          <w:rFonts w:ascii="Times New Roman" w:hAnsi="Times New Roman"/>
          <w:sz w:val="24"/>
          <w:szCs w:val="24"/>
        </w:rPr>
        <w:t>25.07</w:t>
      </w:r>
      <w:r w:rsidR="00D50A45" w:rsidRPr="00EC3950">
        <w:rPr>
          <w:rFonts w:ascii="Times New Roman" w:hAnsi="Times New Roman"/>
          <w:sz w:val="24"/>
          <w:szCs w:val="24"/>
        </w:rPr>
        <w:t>.2018</w:t>
      </w:r>
      <w:r w:rsidR="00DE410D" w:rsidRPr="00EC3950">
        <w:rPr>
          <w:rFonts w:ascii="Times New Roman" w:hAnsi="Times New Roman"/>
          <w:sz w:val="24"/>
          <w:szCs w:val="24"/>
        </w:rPr>
        <w:t xml:space="preserve"> № </w:t>
      </w:r>
      <w:r w:rsidR="00EC3950" w:rsidRPr="00EC3950">
        <w:rPr>
          <w:rFonts w:ascii="Times New Roman" w:hAnsi="Times New Roman"/>
          <w:sz w:val="24"/>
          <w:szCs w:val="24"/>
        </w:rPr>
        <w:t>1808</w:t>
      </w:r>
      <w:r w:rsidRPr="00EC3950">
        <w:rPr>
          <w:rFonts w:ascii="Times New Roman" w:hAnsi="Times New Roman"/>
          <w:sz w:val="24"/>
          <w:szCs w:val="24"/>
        </w:rPr>
        <w:t xml:space="preserve"> «</w:t>
      </w:r>
      <w:r w:rsidRPr="00EC3950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EC3950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EC3950">
        <w:rPr>
          <w:rFonts w:ascii="Times New Roman" w:hAnsi="Times New Roman"/>
          <w:bCs/>
          <w:sz w:val="24"/>
          <w:szCs w:val="24"/>
        </w:rPr>
        <w:t>кциона на право закл</w:t>
      </w:r>
      <w:r w:rsidR="005B600D" w:rsidRPr="00EC3950">
        <w:rPr>
          <w:rFonts w:ascii="Times New Roman" w:hAnsi="Times New Roman"/>
          <w:bCs/>
          <w:sz w:val="24"/>
          <w:szCs w:val="24"/>
        </w:rPr>
        <w:t>ючения договоров аренды земельных участков</w:t>
      </w:r>
      <w:r w:rsidRPr="00EC3950">
        <w:rPr>
          <w:rFonts w:ascii="Times New Roman" w:hAnsi="Times New Roman"/>
          <w:bCs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деятельности»</w:t>
      </w:r>
      <w:r w:rsidR="00FA7EE6" w:rsidRPr="00EC3950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1A1D3A" w:rsidRPr="001A1D3A">
        <w:rPr>
          <w:rFonts w:ascii="Times New Roman" w:hAnsi="Times New Roman" w:cs="Times New Roman"/>
          <w:sz w:val="24"/>
          <w:szCs w:val="24"/>
        </w:rPr>
        <w:t>01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1A1D3A" w:rsidRPr="001A1D3A">
        <w:rPr>
          <w:rFonts w:ascii="Times New Roman" w:hAnsi="Times New Roman" w:cs="Times New Roman"/>
          <w:sz w:val="24"/>
          <w:szCs w:val="24"/>
        </w:rPr>
        <w:t>августа</w:t>
      </w:r>
      <w:r w:rsidR="001F0F22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1F0F22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1A1D3A" w:rsidRPr="001A1D3A">
        <w:rPr>
          <w:rFonts w:ascii="Times New Roman" w:hAnsi="Times New Roman" w:cs="Times New Roman"/>
          <w:sz w:val="24"/>
          <w:szCs w:val="24"/>
        </w:rPr>
        <w:t>03 сентября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CB5811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1A1D3A" w:rsidRPr="001A1D3A">
        <w:rPr>
          <w:rFonts w:ascii="Times New Roman" w:hAnsi="Times New Roman" w:cs="Times New Roman"/>
          <w:sz w:val="24"/>
          <w:szCs w:val="24"/>
        </w:rPr>
        <w:t>05 сентября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CB5811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1A1D3A" w:rsidRPr="001A1D3A">
        <w:rPr>
          <w:rFonts w:ascii="Times New Roman" w:hAnsi="Times New Roman" w:cs="Times New Roman"/>
          <w:sz w:val="24"/>
          <w:szCs w:val="24"/>
        </w:rPr>
        <w:t>07</w:t>
      </w:r>
      <w:r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1A1D3A">
        <w:rPr>
          <w:rFonts w:ascii="Times New Roman" w:hAnsi="Times New Roman" w:cs="Times New Roman"/>
          <w:sz w:val="24"/>
          <w:szCs w:val="24"/>
        </w:rPr>
        <w:t>сентября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60058B" w:rsidRPr="001A1D3A" w:rsidRDefault="00B21398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3A">
        <w:rPr>
          <w:rFonts w:ascii="Times New Roman" w:hAnsi="Times New Roman" w:cs="Times New Roman"/>
          <w:sz w:val="24"/>
          <w:szCs w:val="24"/>
        </w:rPr>
        <w:t>по лоту № 1 – в 09 часов 15 минут;</w:t>
      </w:r>
    </w:p>
    <w:p w:rsidR="004231F6" w:rsidRDefault="00B21398" w:rsidP="00346CE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3A">
        <w:rPr>
          <w:rFonts w:ascii="Times New Roman" w:hAnsi="Times New Roman" w:cs="Times New Roman"/>
          <w:sz w:val="24"/>
          <w:szCs w:val="24"/>
        </w:rPr>
        <w:t>по лоту № 2 – в 09 часов 25 минут</w:t>
      </w:r>
      <w:r w:rsidR="00346CE6" w:rsidRPr="001A1D3A">
        <w:rPr>
          <w:rFonts w:ascii="Times New Roman" w:hAnsi="Times New Roman" w:cs="Times New Roman"/>
          <w:sz w:val="24"/>
          <w:szCs w:val="24"/>
        </w:rPr>
        <w:t>.</w:t>
      </w:r>
    </w:p>
    <w:p w:rsidR="00346CE6" w:rsidRPr="009B4D99" w:rsidRDefault="00346CE6" w:rsidP="00346CE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3D3958">
          <w:footerReference w:type="default" r:id="rId9"/>
          <w:pgSz w:w="11906" w:h="16838" w:code="9"/>
          <w:pgMar w:top="567" w:right="567" w:bottom="567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58"/>
        <w:gridCol w:w="1975"/>
        <w:gridCol w:w="4099"/>
        <w:gridCol w:w="2602"/>
        <w:gridCol w:w="1541"/>
        <w:gridCol w:w="1329"/>
      </w:tblGrid>
      <w:tr w:rsidR="00B63FD6" w:rsidRPr="00B63FD6" w:rsidTr="00842644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842644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Россошанский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842644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FA7EE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="00842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Архиповское</w:t>
            </w:r>
            <w:proofErr w:type="spellEnd"/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01122C">
        <w:trPr>
          <w:cantSplit/>
          <w:trHeight w:val="113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36:27:0970001:127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3 499 408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A7EE6" w:rsidP="00842644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842644">
              <w:rPr>
                <w:rFonts w:ascii="Times New Roman" w:hAnsi="Times New Roman"/>
                <w:sz w:val="24"/>
                <w:szCs w:val="24"/>
                <w:lang w:eastAsia="en-US"/>
              </w:rPr>
              <w:t>обл.</w:t>
            </w:r>
            <w:r w:rsidR="00842644"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Воронежская, р-н </w:t>
            </w:r>
            <w:proofErr w:type="spellStart"/>
            <w:r w:rsidR="00842644"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Россошанский</w:t>
            </w:r>
            <w:proofErr w:type="spellEnd"/>
            <w:r w:rsidR="00842644"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, центральная часть кадастрового квартала 36:27:0970001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B65104" w:rsidP="0084264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сельскохозяйственного </w:t>
            </w:r>
            <w:r w:rsidR="00842644" w:rsidRPr="00FF4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EC395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C3950">
              <w:rPr>
                <w:rFonts w:ascii="Times New Roman" w:hAnsi="Times New Roman"/>
                <w:sz w:val="24"/>
                <w:szCs w:val="24"/>
                <w:lang w:eastAsia="en-US"/>
              </w:rPr>
              <w:t>356 904,80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EC395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C3950">
              <w:rPr>
                <w:rFonts w:ascii="Times New Roman" w:hAnsi="Times New Roman"/>
                <w:sz w:val="24"/>
                <w:szCs w:val="24"/>
                <w:lang w:eastAsia="en-US"/>
              </w:rPr>
              <w:t>356 904,80</w:t>
            </w:r>
          </w:p>
        </w:tc>
      </w:tr>
      <w:tr w:rsidR="00B63FD6" w:rsidRPr="00B63FD6" w:rsidTr="00842644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Лот № 2 (</w:t>
            </w:r>
            <w:proofErr w:type="spellStart"/>
            <w:r w:rsidR="00842644" w:rsidRPr="00842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Архиповское</w:t>
            </w:r>
            <w:proofErr w:type="spellEnd"/>
            <w:r w:rsidR="00842644" w:rsidRPr="00842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A7EE6"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36:27:0970001: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1 481 523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A7EE6" w:rsidP="00842644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39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842644" w:rsidRPr="00EC39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обл. Воронежская, р-н </w:t>
            </w:r>
            <w:proofErr w:type="spellStart"/>
            <w:r w:rsidR="00842644" w:rsidRPr="00EC3950">
              <w:rPr>
                <w:rFonts w:ascii="Times New Roman" w:hAnsi="Times New Roman"/>
                <w:sz w:val="24"/>
                <w:szCs w:val="24"/>
                <w:lang w:eastAsia="en-US"/>
              </w:rPr>
              <w:t>Россошанский</w:t>
            </w:r>
            <w:proofErr w:type="spellEnd"/>
            <w:r w:rsidR="00842644" w:rsidRPr="00EC3950">
              <w:rPr>
                <w:rFonts w:ascii="Times New Roman" w:hAnsi="Times New Roman"/>
                <w:sz w:val="24"/>
                <w:szCs w:val="24"/>
                <w:lang w:eastAsia="en-US"/>
              </w:rPr>
              <w:t>, северная часть кадастрового квартала 36:27:0970001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842644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41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842644" w:rsidRPr="00FF41BD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EC395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C3950">
              <w:rPr>
                <w:rFonts w:ascii="Times New Roman" w:hAnsi="Times New Roman"/>
                <w:sz w:val="24"/>
                <w:szCs w:val="24"/>
                <w:lang w:eastAsia="en-US"/>
              </w:rPr>
              <w:t>151 100,60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EC395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C3950">
              <w:rPr>
                <w:rFonts w:ascii="Times New Roman" w:hAnsi="Times New Roman"/>
                <w:sz w:val="24"/>
                <w:szCs w:val="24"/>
                <w:lang w:eastAsia="en-US"/>
              </w:rPr>
              <w:t>151 100,60</w:t>
            </w:r>
          </w:p>
        </w:tc>
      </w:tr>
    </w:tbl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842644">
          <w:pgSz w:w="16838" w:h="11906" w:orient="landscape"/>
          <w:pgMar w:top="1418" w:right="567" w:bottom="680" w:left="1985" w:header="709" w:footer="709" w:gutter="0"/>
          <w:cols w:space="708"/>
          <w:docGrid w:linePitch="360"/>
        </w:sectPr>
      </w:pP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</w:t>
      </w:r>
      <w:r w:rsidR="00346CE6">
        <w:rPr>
          <w:rFonts w:ascii="Times New Roman" w:hAnsi="Times New Roman"/>
          <w:sz w:val="24"/>
          <w:szCs w:val="24"/>
        </w:rPr>
        <w:t>мельных участков по лотам №№ 1-2</w:t>
      </w:r>
      <w:r>
        <w:rPr>
          <w:rFonts w:ascii="Times New Roman" w:hAnsi="Times New Roman"/>
          <w:sz w:val="24"/>
          <w:szCs w:val="24"/>
        </w:rPr>
        <w:t>: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AF2EDC" w:rsidRDefault="00550F61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 xml:space="preserve">Срок аренды земельных участков </w:t>
      </w:r>
      <w:r w:rsidR="00AF2EDC" w:rsidRPr="00EC3950">
        <w:rPr>
          <w:rFonts w:ascii="Times New Roman" w:hAnsi="Times New Roman"/>
          <w:sz w:val="24"/>
          <w:szCs w:val="24"/>
        </w:rPr>
        <w:t>– 3 года.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D3179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D3179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D31798">
        <w:rPr>
          <w:rFonts w:ascii="Times New Roman" w:hAnsi="Times New Roman"/>
          <w:sz w:val="24"/>
          <w:szCs w:val="24"/>
        </w:rPr>
        <w:t>ого</w:t>
      </w:r>
      <w:r w:rsidRPr="00D3179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D31798">
        <w:rPr>
          <w:rFonts w:ascii="Times New Roman" w:hAnsi="Times New Roman"/>
          <w:sz w:val="24"/>
          <w:szCs w:val="24"/>
        </w:rPr>
        <w:t>а</w:t>
      </w:r>
      <w:r w:rsidR="00F63D0F" w:rsidRPr="00D31798">
        <w:rPr>
          <w:rFonts w:ascii="Times New Roman" w:hAnsi="Times New Roman"/>
          <w:sz w:val="24"/>
          <w:szCs w:val="24"/>
        </w:rPr>
        <w:t xml:space="preserve">, </w:t>
      </w:r>
      <w:r w:rsidR="00613FCC" w:rsidRPr="00D31798">
        <w:rPr>
          <w:rFonts w:ascii="Times New Roman" w:hAnsi="Times New Roman"/>
          <w:sz w:val="24"/>
          <w:szCs w:val="24"/>
        </w:rPr>
        <w:t xml:space="preserve">лот № _______, </w:t>
      </w:r>
      <w:r w:rsidRPr="00D31798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D31798">
        <w:rPr>
          <w:rFonts w:ascii="Times New Roman" w:hAnsi="Times New Roman"/>
          <w:sz w:val="24"/>
          <w:szCs w:val="24"/>
        </w:rPr>
        <w:t>8</w:t>
      </w:r>
      <w:r w:rsidRPr="00D31798">
        <w:rPr>
          <w:rFonts w:ascii="Times New Roman" w:hAnsi="Times New Roman"/>
          <w:sz w:val="24"/>
          <w:szCs w:val="24"/>
        </w:rPr>
        <w:t xml:space="preserve"> –</w:t>
      </w:r>
      <w:r w:rsidR="00800504" w:rsidRPr="00D31798">
        <w:rPr>
          <w:rFonts w:ascii="Times New Roman" w:hAnsi="Times New Roman"/>
          <w:sz w:val="24"/>
          <w:szCs w:val="24"/>
        </w:rPr>
        <w:t xml:space="preserve"> </w:t>
      </w:r>
      <w:r w:rsidR="00D31798" w:rsidRPr="00D31798">
        <w:rPr>
          <w:rFonts w:ascii="Times New Roman" w:hAnsi="Times New Roman"/>
          <w:sz w:val="24"/>
          <w:szCs w:val="24"/>
        </w:rPr>
        <w:t>97</w:t>
      </w:r>
      <w:r w:rsidRPr="00D31798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15079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40101810500000010004 в Отделении Воронеж г. Воронеж, БИК 042007001, ИНН 3666057069, КПП 366601001, ОКТМО 20701000, КБК 835 1 11 05022 02 0000 120.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</w:t>
      </w:r>
      <w:r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B32ACC" w:rsidRDefault="00B32ACC" w:rsidP="00B32ACC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32ACC" w:rsidRDefault="00B32ACC" w:rsidP="00B32A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B32ACC" w:rsidRDefault="00B32ACC" w:rsidP="00B32ACC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3.4.13.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>
        <w:rPr>
          <w:rFonts w:ascii="Times New Roman" w:hAnsi="Times New Roman"/>
          <w:sz w:val="24"/>
          <w:szCs w:val="24"/>
        </w:rPr>
        <w:t xml:space="preserve">использования и охраны земель,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B32ACC" w:rsidRDefault="00B32ACC" w:rsidP="00B32ACC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32ACC" w:rsidRDefault="00B32ACC" w:rsidP="00B32ACC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3.4.18.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3.4.19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B32ACC" w:rsidRDefault="00B32ACC" w:rsidP="00B32ACC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1 % от суммы задолженности за каждый день просрочки,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 и прекращения Договора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(473) 213-73-89,                     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32ACC" w:rsidTr="00B32ACC">
        <w:trPr>
          <w:jc w:val="center"/>
        </w:trPr>
        <w:tc>
          <w:tcPr>
            <w:tcW w:w="5793" w:type="dxa"/>
          </w:tcPr>
          <w:p w:rsidR="00B32ACC" w:rsidRDefault="00B32ACC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</w:tcPr>
          <w:p w:rsidR="00B32ACC" w:rsidRDefault="00B32ACC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32ACC" w:rsidRDefault="00B32ACC" w:rsidP="00B32ACC">
      <w:pPr>
        <w:ind w:left="142" w:right="-51" w:hanging="6"/>
        <w:jc w:val="center"/>
      </w:pPr>
    </w:p>
    <w:p w:rsidR="00B32ACC" w:rsidRDefault="00B32ACC" w:rsidP="00B32A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32ACC" w:rsidTr="00B32ACC">
        <w:trPr>
          <w:trHeight w:val="397"/>
        </w:trPr>
        <w:tc>
          <w:tcPr>
            <w:tcW w:w="4361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</w:tc>
      </w:tr>
      <w:tr w:rsidR="00B32ACC" w:rsidTr="00B32ACC">
        <w:tc>
          <w:tcPr>
            <w:tcW w:w="4361" w:type="dxa"/>
          </w:tcPr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32ACC" w:rsidRDefault="00B32ACC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394006,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Воронеж, пл. Ленина, д. 12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B32ACC" w:rsidTr="00B32ACC">
        <w:trPr>
          <w:trHeight w:val="397"/>
        </w:trPr>
        <w:tc>
          <w:tcPr>
            <w:tcW w:w="4361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32ACC" w:rsidTr="00B32ACC">
        <w:tc>
          <w:tcPr>
            <w:tcW w:w="4361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D06B05" w:rsidRDefault="00D06B05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C7" w:rsidRDefault="00315AC7" w:rsidP="00225547">
      <w:r>
        <w:separator/>
      </w:r>
    </w:p>
  </w:endnote>
  <w:endnote w:type="continuationSeparator" w:id="0">
    <w:p w:rsidR="00315AC7" w:rsidRDefault="00315AC7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3EE7" w:rsidRPr="00B35B8B" w:rsidRDefault="00733EE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8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E7" w:rsidRPr="002F11AF" w:rsidRDefault="00733EE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2B6986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33EE7" w:rsidRDefault="00733E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C7" w:rsidRDefault="00315AC7" w:rsidP="00225547">
      <w:r>
        <w:separator/>
      </w:r>
    </w:p>
  </w:footnote>
  <w:footnote w:type="continuationSeparator" w:id="0">
    <w:p w:rsidR="00315AC7" w:rsidRDefault="00315AC7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122C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142D"/>
    <w:rsid w:val="0009464F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73140"/>
    <w:rsid w:val="00182334"/>
    <w:rsid w:val="00190545"/>
    <w:rsid w:val="001A1D3A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B6986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5AC7"/>
    <w:rsid w:val="00316D86"/>
    <w:rsid w:val="003334BB"/>
    <w:rsid w:val="00334979"/>
    <w:rsid w:val="003354B2"/>
    <w:rsid w:val="00346CE6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3958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6A3C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6FDE"/>
    <w:rsid w:val="005078F3"/>
    <w:rsid w:val="00512404"/>
    <w:rsid w:val="005168F2"/>
    <w:rsid w:val="005261F7"/>
    <w:rsid w:val="00530F18"/>
    <w:rsid w:val="00535F2F"/>
    <w:rsid w:val="005364D7"/>
    <w:rsid w:val="00540F19"/>
    <w:rsid w:val="00546113"/>
    <w:rsid w:val="00550F61"/>
    <w:rsid w:val="0055486E"/>
    <w:rsid w:val="00557EBF"/>
    <w:rsid w:val="0056198F"/>
    <w:rsid w:val="005918A2"/>
    <w:rsid w:val="00596658"/>
    <w:rsid w:val="005A15B1"/>
    <w:rsid w:val="005B21F9"/>
    <w:rsid w:val="005B2D34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5D9B"/>
    <w:rsid w:val="00701610"/>
    <w:rsid w:val="0070475C"/>
    <w:rsid w:val="00711C8A"/>
    <w:rsid w:val="00716469"/>
    <w:rsid w:val="0072373B"/>
    <w:rsid w:val="007237F8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2644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246F"/>
    <w:rsid w:val="00955456"/>
    <w:rsid w:val="00964C85"/>
    <w:rsid w:val="00985ADE"/>
    <w:rsid w:val="00996D6A"/>
    <w:rsid w:val="009C165D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2947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1798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2FD3"/>
    <w:rsid w:val="00DE410D"/>
    <w:rsid w:val="00DE4A59"/>
    <w:rsid w:val="00DF1B43"/>
    <w:rsid w:val="00DF6D11"/>
    <w:rsid w:val="00E14B73"/>
    <w:rsid w:val="00E25600"/>
    <w:rsid w:val="00E533FF"/>
    <w:rsid w:val="00E70F07"/>
    <w:rsid w:val="00E765DD"/>
    <w:rsid w:val="00EB32A9"/>
    <w:rsid w:val="00EC0726"/>
    <w:rsid w:val="00EC3950"/>
    <w:rsid w:val="00ED235E"/>
    <w:rsid w:val="00ED640D"/>
    <w:rsid w:val="00EE0712"/>
    <w:rsid w:val="00EE1DEE"/>
    <w:rsid w:val="00EF597A"/>
    <w:rsid w:val="00EF7329"/>
    <w:rsid w:val="00F003F5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46C0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609F0-4400-4221-ABE5-935F952C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14</Pages>
  <Words>5507</Words>
  <Characters>31395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258</cp:revision>
  <cp:lastPrinted>2018-07-30T13:18:00Z</cp:lastPrinted>
  <dcterms:created xsi:type="dcterms:W3CDTF">2015-11-18T12:10:00Z</dcterms:created>
  <dcterms:modified xsi:type="dcterms:W3CDTF">2018-07-31T11:56:00Z</dcterms:modified>
</cp:coreProperties>
</file>