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23"/>
        <w:gridCol w:w="1905"/>
        <w:gridCol w:w="1167"/>
        <w:gridCol w:w="1039"/>
        <w:gridCol w:w="912"/>
        <w:gridCol w:w="992"/>
        <w:gridCol w:w="709"/>
        <w:gridCol w:w="743"/>
        <w:gridCol w:w="1100"/>
        <w:gridCol w:w="1559"/>
        <w:gridCol w:w="1417"/>
        <w:gridCol w:w="1950"/>
      </w:tblGrid>
      <w:tr w:rsidR="005B350E" w:rsidTr="000A1684">
        <w:trPr>
          <w:trHeight w:val="1550"/>
        </w:trPr>
        <w:tc>
          <w:tcPr>
            <w:tcW w:w="154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C07" w:rsidRPr="002709E4" w:rsidRDefault="000F0C07" w:rsidP="000F0C07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2709E4">
              <w:rPr>
                <w:sz w:val="24"/>
                <w:szCs w:val="24"/>
              </w:rPr>
              <w:t>Сведения</w:t>
            </w:r>
          </w:p>
          <w:p w:rsidR="000F0C07" w:rsidRPr="002709E4" w:rsidRDefault="000F0C07" w:rsidP="000F0C07">
            <w:pPr>
              <w:pStyle w:val="1"/>
              <w:shd w:val="clear" w:color="auto" w:fill="auto"/>
              <w:spacing w:after="237"/>
              <w:ind w:left="100"/>
              <w:rPr>
                <w:sz w:val="24"/>
                <w:szCs w:val="24"/>
              </w:rPr>
            </w:pPr>
            <w:r w:rsidRPr="002709E4">
              <w:rPr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hyperlink r:id="rId5" w:history="1">
              <w:r w:rsidRP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>руководителей государственных учреждений, подведомственных департаменту имущественных и земельных отношений Воронежской области</w:t>
              </w:r>
              <w:r w:rsid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>,</w:t>
              </w:r>
              <w:r w:rsidRP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2709E4">
              <w:rPr>
                <w:sz w:val="24"/>
                <w:szCs w:val="24"/>
              </w:rPr>
              <w:t>и членов их семей за отчетный период с 1 января 201</w:t>
            </w:r>
            <w:r w:rsidR="00250710">
              <w:rPr>
                <w:sz w:val="24"/>
                <w:szCs w:val="24"/>
              </w:rPr>
              <w:t>8</w:t>
            </w:r>
            <w:r w:rsidRPr="002709E4">
              <w:rPr>
                <w:sz w:val="24"/>
                <w:szCs w:val="24"/>
              </w:rPr>
              <w:t xml:space="preserve"> года по 31 декабря 201</w:t>
            </w:r>
            <w:r w:rsidR="00250710">
              <w:rPr>
                <w:sz w:val="24"/>
                <w:szCs w:val="24"/>
              </w:rPr>
              <w:t xml:space="preserve">8 </w:t>
            </w:r>
            <w:r w:rsidRPr="002709E4">
              <w:rPr>
                <w:sz w:val="24"/>
                <w:szCs w:val="24"/>
              </w:rPr>
              <w:t>года</w:t>
            </w:r>
          </w:p>
          <w:p w:rsidR="005B350E" w:rsidRPr="008703DA" w:rsidRDefault="005B350E" w:rsidP="000F0C07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24"/>
                <w:szCs w:val="24"/>
                <w:shd w:val="clear" w:color="auto" w:fill="auto"/>
              </w:rPr>
            </w:pPr>
          </w:p>
        </w:tc>
      </w:tr>
      <w:tr w:rsidR="00002FEF" w:rsidTr="00250710">
        <w:trPr>
          <w:cantSplit/>
          <w:trHeight w:val="229"/>
        </w:trPr>
        <w:tc>
          <w:tcPr>
            <w:tcW w:w="19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Фамилия, имя, отче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ство лица, чьи сведе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 размещаются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EF" w:rsidRPr="006F4A2A" w:rsidRDefault="00002FEF" w:rsidP="00002FEF">
            <w:pPr>
              <w:pStyle w:val="1"/>
              <w:shd w:val="clear" w:color="auto" w:fill="auto"/>
              <w:spacing w:line="190" w:lineRule="exact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Должность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6C" w:rsidRPr="006F4A2A" w:rsidRDefault="00002FEF" w:rsidP="008703DA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Объекты недвижимости,</w:t>
            </w:r>
          </w:p>
          <w:p w:rsidR="00002FEF" w:rsidRPr="006F4A2A" w:rsidRDefault="00002FEF" w:rsidP="008703DA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6C" w:rsidRPr="006F4A2A" w:rsidRDefault="00002FEF" w:rsidP="00A37E6C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Объекты недвижимости,</w:t>
            </w:r>
          </w:p>
          <w:p w:rsidR="00002FEF" w:rsidRPr="006F4A2A" w:rsidRDefault="00002FEF" w:rsidP="00A37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</w:t>
            </w: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softHyphen/>
              <w:t>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DA0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Транс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 xml:space="preserve">портные средства 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Деклариро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ванный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годовой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доход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(руб.)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Сведения об ис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точниках получе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 средств, за счет которых соверше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на сделка (вид приобретенного имущества, источ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ники)</w:t>
            </w:r>
          </w:p>
        </w:tc>
      </w:tr>
      <w:tr w:rsidR="00035DA0" w:rsidTr="000A7F1D">
        <w:trPr>
          <w:cantSplit/>
          <w:trHeight w:val="229"/>
        </w:trPr>
        <w:tc>
          <w:tcPr>
            <w:tcW w:w="1923" w:type="dxa"/>
            <w:vMerge/>
          </w:tcPr>
          <w:p w:rsidR="00002FEF" w:rsidRPr="006F4A2A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02FEF" w:rsidRPr="006F4A2A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02FEF" w:rsidRPr="006F4A2A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Вид</w:t>
            </w:r>
            <w:r w:rsidR="00DF740C" w:rsidRPr="006F4A2A">
              <w:rPr>
                <w:b w:val="0"/>
                <w:sz w:val="20"/>
                <w:szCs w:val="20"/>
              </w:rPr>
              <w:t xml:space="preserve"> 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объекта</w:t>
            </w:r>
          </w:p>
        </w:tc>
        <w:tc>
          <w:tcPr>
            <w:tcW w:w="1039" w:type="dxa"/>
          </w:tcPr>
          <w:p w:rsidR="00DC07FA" w:rsidRDefault="00002FEF" w:rsidP="00DC07FA">
            <w:pPr>
              <w:pStyle w:val="1"/>
              <w:shd w:val="clear" w:color="auto" w:fill="auto"/>
              <w:spacing w:line="240" w:lineRule="auto"/>
              <w:ind w:left="-108" w:right="-62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 xml:space="preserve">Вид </w:t>
            </w:r>
          </w:p>
          <w:p w:rsidR="00002FEF" w:rsidRPr="006F4A2A" w:rsidRDefault="00002FEF" w:rsidP="00DC07FA">
            <w:pPr>
              <w:pStyle w:val="1"/>
              <w:shd w:val="clear" w:color="auto" w:fill="auto"/>
              <w:spacing w:line="240" w:lineRule="auto"/>
              <w:ind w:left="-108" w:right="-62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собст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венности</w:t>
            </w:r>
          </w:p>
        </w:tc>
        <w:tc>
          <w:tcPr>
            <w:tcW w:w="912" w:type="dxa"/>
          </w:tcPr>
          <w:p w:rsidR="00002FEF" w:rsidRPr="006F4A2A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Пло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щадь</w:t>
            </w:r>
          </w:p>
          <w:p w:rsidR="00002FEF" w:rsidRPr="006F4A2A" w:rsidRDefault="00002FEF" w:rsidP="00DF740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Страна</w:t>
            </w:r>
          </w:p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р</w:t>
            </w:r>
            <w:r w:rsidR="00035DA0" w:rsidRPr="006F4A2A">
              <w:rPr>
                <w:rStyle w:val="95pt0pt"/>
                <w:rFonts w:eastAsia="Consolas"/>
                <w:b/>
                <w:sz w:val="20"/>
                <w:szCs w:val="20"/>
              </w:rPr>
              <w:t>аспо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ложе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709" w:type="dxa"/>
          </w:tcPr>
          <w:p w:rsidR="00035DA0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 xml:space="preserve">Вид </w:t>
            </w:r>
          </w:p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екта</w:t>
            </w:r>
          </w:p>
        </w:tc>
        <w:tc>
          <w:tcPr>
            <w:tcW w:w="743" w:type="dxa"/>
          </w:tcPr>
          <w:p w:rsidR="00002FEF" w:rsidRPr="006F4A2A" w:rsidRDefault="00035DA0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Пло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щадь</w:t>
            </w:r>
          </w:p>
          <w:p w:rsidR="00002FEF" w:rsidRPr="006F4A2A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(кв.м)</w:t>
            </w:r>
          </w:p>
        </w:tc>
        <w:tc>
          <w:tcPr>
            <w:tcW w:w="1100" w:type="dxa"/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Страна</w:t>
            </w:r>
          </w:p>
          <w:p w:rsidR="00002FEF" w:rsidRPr="006F4A2A" w:rsidRDefault="00035DA0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распо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ложе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1559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0A7F1D">
        <w:trPr>
          <w:trHeight w:val="229"/>
        </w:trPr>
        <w:tc>
          <w:tcPr>
            <w:tcW w:w="1923" w:type="dxa"/>
          </w:tcPr>
          <w:p w:rsidR="000F0C07" w:rsidRPr="006F4A2A" w:rsidRDefault="000F0C07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  <w:r w:rsidRPr="006F4A2A">
              <w:rPr>
                <w:sz w:val="20"/>
                <w:szCs w:val="20"/>
              </w:rPr>
              <w:t>Ковалевская Ирина Викторовна</w:t>
            </w:r>
          </w:p>
        </w:tc>
        <w:tc>
          <w:tcPr>
            <w:tcW w:w="1905" w:type="dxa"/>
          </w:tcPr>
          <w:p w:rsidR="000F0C07" w:rsidRPr="006F4A2A" w:rsidRDefault="000F0C07" w:rsidP="00ED0767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 xml:space="preserve">Руководитель казенного учреждения Воронежской области «Управление </w:t>
            </w:r>
            <w:r w:rsidR="00ED0767">
              <w:rPr>
                <w:rStyle w:val="95pt0pt"/>
                <w:sz w:val="20"/>
                <w:szCs w:val="20"/>
              </w:rPr>
              <w:t>по работе с областным имуществом</w:t>
            </w:r>
            <w:r w:rsidRPr="006F4A2A">
              <w:rPr>
                <w:rStyle w:val="95pt0pt"/>
                <w:sz w:val="20"/>
                <w:szCs w:val="20"/>
              </w:rPr>
              <w:t>»</w:t>
            </w:r>
          </w:p>
        </w:tc>
        <w:tc>
          <w:tcPr>
            <w:tcW w:w="1167" w:type="dxa"/>
          </w:tcPr>
          <w:p w:rsidR="000F0C07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</w:t>
            </w:r>
            <w:r w:rsidR="00BE68DA" w:rsidRPr="006F4A2A">
              <w:rPr>
                <w:b w:val="0"/>
                <w:sz w:val="20"/>
                <w:szCs w:val="20"/>
              </w:rPr>
              <w:t>е имеет</w:t>
            </w:r>
          </w:p>
        </w:tc>
        <w:tc>
          <w:tcPr>
            <w:tcW w:w="1039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0F0C07" w:rsidRPr="006F4A2A" w:rsidRDefault="000F0C07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C07" w:rsidRPr="006F4A2A" w:rsidRDefault="00BE68D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43" w:type="dxa"/>
          </w:tcPr>
          <w:p w:rsidR="000F0C07" w:rsidRPr="006F4A2A" w:rsidRDefault="00BE68D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56,4</w:t>
            </w:r>
          </w:p>
        </w:tc>
        <w:tc>
          <w:tcPr>
            <w:tcW w:w="1100" w:type="dxa"/>
          </w:tcPr>
          <w:p w:rsidR="000F0C07" w:rsidRPr="006F4A2A" w:rsidRDefault="00BE68D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F0C07" w:rsidRPr="006F4A2A" w:rsidRDefault="000A7F1D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0F0C07" w:rsidRPr="006F4A2A" w:rsidRDefault="00ED0767" w:rsidP="002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710">
              <w:rPr>
                <w:rFonts w:ascii="Times New Roman" w:hAnsi="Times New Roman" w:cs="Times New Roman"/>
                <w:sz w:val="20"/>
                <w:szCs w:val="20"/>
              </w:rPr>
              <w:t> 445 805,15</w:t>
            </w:r>
          </w:p>
        </w:tc>
        <w:tc>
          <w:tcPr>
            <w:tcW w:w="1950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84" w:rsidTr="000A7F1D">
        <w:trPr>
          <w:trHeight w:val="697"/>
        </w:trPr>
        <w:tc>
          <w:tcPr>
            <w:tcW w:w="1923" w:type="dxa"/>
            <w:vMerge w:val="restart"/>
          </w:tcPr>
          <w:p w:rsidR="000A1684" w:rsidRPr="006F4A2A" w:rsidRDefault="000A1684" w:rsidP="002709E4">
            <w:pPr>
              <w:pStyle w:val="1"/>
              <w:shd w:val="clear" w:color="auto" w:fill="auto"/>
              <w:spacing w:line="230" w:lineRule="exact"/>
              <w:jc w:val="left"/>
              <w:rPr>
                <w:rStyle w:val="95pt0pt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905" w:type="dxa"/>
            <w:vMerge w:val="restart"/>
          </w:tcPr>
          <w:p w:rsidR="000A1684" w:rsidRPr="006F4A2A" w:rsidRDefault="000A1684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A1684" w:rsidRPr="006F4A2A" w:rsidRDefault="000A1684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0A1684" w:rsidRPr="006F4A2A" w:rsidRDefault="000A1684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не имеет</w:t>
            </w:r>
          </w:p>
        </w:tc>
        <w:tc>
          <w:tcPr>
            <w:tcW w:w="743" w:type="dxa"/>
            <w:vMerge w:val="restart"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0A1684" w:rsidRPr="006F4A2A" w:rsidRDefault="000A1684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A1684" w:rsidRPr="006F4A2A" w:rsidRDefault="000A1684" w:rsidP="000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33541">
              <w:rPr>
                <w:rFonts w:ascii="Times New Roman" w:hAnsi="Times New Roman" w:cs="Times New Roman"/>
                <w:sz w:val="20"/>
                <w:szCs w:val="20"/>
              </w:rPr>
              <w:t xml:space="preserve">ольксваген </w:t>
            </w:r>
            <w:proofErr w:type="spellStart"/>
            <w:r w:rsidR="00033541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417" w:type="dxa"/>
            <w:vMerge w:val="restart"/>
          </w:tcPr>
          <w:p w:rsidR="000A1684" w:rsidRPr="006F4A2A" w:rsidRDefault="000A1684" w:rsidP="002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710">
              <w:rPr>
                <w:rFonts w:ascii="Times New Roman" w:hAnsi="Times New Roman" w:cs="Times New Roman"/>
                <w:sz w:val="20"/>
                <w:szCs w:val="20"/>
              </w:rPr>
              <w:t> 284 657,13</w:t>
            </w:r>
          </w:p>
        </w:tc>
        <w:tc>
          <w:tcPr>
            <w:tcW w:w="1950" w:type="dxa"/>
            <w:vMerge w:val="restart"/>
          </w:tcPr>
          <w:p w:rsidR="000A1684" w:rsidRPr="006F4A2A" w:rsidRDefault="000A1684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84" w:rsidTr="000A7F1D">
        <w:trPr>
          <w:trHeight w:val="455"/>
        </w:trPr>
        <w:tc>
          <w:tcPr>
            <w:tcW w:w="1923" w:type="dxa"/>
            <w:vMerge/>
          </w:tcPr>
          <w:p w:rsidR="000A1684" w:rsidRPr="006F4A2A" w:rsidRDefault="000A1684" w:rsidP="002709E4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A1684" w:rsidRPr="006F4A2A" w:rsidRDefault="000A1684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A1684" w:rsidRPr="006F4A2A" w:rsidRDefault="000A1684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гараж</w:t>
            </w:r>
          </w:p>
        </w:tc>
        <w:tc>
          <w:tcPr>
            <w:tcW w:w="1039" w:type="dxa"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0A1684" w:rsidRPr="006F4A2A" w:rsidRDefault="000A1684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36,4</w:t>
            </w:r>
          </w:p>
        </w:tc>
        <w:tc>
          <w:tcPr>
            <w:tcW w:w="992" w:type="dxa"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0A1684" w:rsidRPr="006F4A2A" w:rsidRDefault="000A1684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0A1684" w:rsidRPr="006F4A2A" w:rsidRDefault="000A1684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1684" w:rsidRPr="006F4A2A" w:rsidRDefault="000A1684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1684" w:rsidRDefault="000A1684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0A1684" w:rsidRPr="006F4A2A" w:rsidRDefault="000A1684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0A7F1D">
        <w:trPr>
          <w:trHeight w:val="229"/>
        </w:trPr>
        <w:tc>
          <w:tcPr>
            <w:tcW w:w="1923" w:type="dxa"/>
          </w:tcPr>
          <w:p w:rsidR="000F0C07" w:rsidRPr="006F4A2A" w:rsidRDefault="000F0C07" w:rsidP="00250710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  <w:r w:rsidRPr="006F4A2A">
              <w:rPr>
                <w:sz w:val="20"/>
                <w:szCs w:val="20"/>
              </w:rPr>
              <w:t>П</w:t>
            </w:r>
            <w:r w:rsidR="00250710">
              <w:rPr>
                <w:sz w:val="20"/>
                <w:szCs w:val="20"/>
              </w:rPr>
              <w:t>ащенко Оксана Михайловна</w:t>
            </w:r>
          </w:p>
        </w:tc>
        <w:tc>
          <w:tcPr>
            <w:tcW w:w="1905" w:type="dxa"/>
          </w:tcPr>
          <w:p w:rsidR="000F0C07" w:rsidRPr="006F4A2A" w:rsidRDefault="000F0C07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казенного учреждения Воронежской области «Фонд государственного имущества»</w:t>
            </w:r>
          </w:p>
        </w:tc>
        <w:tc>
          <w:tcPr>
            <w:tcW w:w="1167" w:type="dxa"/>
          </w:tcPr>
          <w:p w:rsidR="00420C33" w:rsidRPr="006F4A2A" w:rsidRDefault="000A7F1D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0C377F" w:rsidRPr="006F4A2A" w:rsidRDefault="000A7F1D" w:rsidP="004719F5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Долевая (</w:t>
            </w:r>
            <w:r w:rsidR="004719F5">
              <w:rPr>
                <w:rStyle w:val="95pt0pt"/>
                <w:rFonts w:eastAsia="Consolas"/>
                <w:sz w:val="20"/>
                <w:szCs w:val="20"/>
              </w:rPr>
              <w:t>2</w:t>
            </w:r>
            <w:r>
              <w:rPr>
                <w:rStyle w:val="95pt0pt"/>
                <w:rFonts w:eastAsia="Consolas"/>
                <w:sz w:val="20"/>
                <w:szCs w:val="20"/>
              </w:rPr>
              <w:t>/3)</w:t>
            </w:r>
          </w:p>
        </w:tc>
        <w:tc>
          <w:tcPr>
            <w:tcW w:w="912" w:type="dxa"/>
          </w:tcPr>
          <w:p w:rsidR="00420C33" w:rsidRPr="006F4A2A" w:rsidRDefault="004719F5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65,4</w:t>
            </w:r>
          </w:p>
        </w:tc>
        <w:tc>
          <w:tcPr>
            <w:tcW w:w="992" w:type="dxa"/>
          </w:tcPr>
          <w:p w:rsidR="00420C33" w:rsidRPr="006F4A2A" w:rsidRDefault="004719F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09" w:type="dxa"/>
          </w:tcPr>
          <w:p w:rsidR="000F0C07" w:rsidRPr="002E6A7A" w:rsidRDefault="00497AE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2E6A7A">
              <w:rPr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43" w:type="dxa"/>
          </w:tcPr>
          <w:p w:rsidR="000F0C07" w:rsidRPr="002E6A7A" w:rsidRDefault="00497AE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2E6A7A">
              <w:rPr>
                <w:rStyle w:val="95pt0pt"/>
                <w:rFonts w:eastAsia="Consolas"/>
                <w:sz w:val="20"/>
                <w:szCs w:val="20"/>
              </w:rPr>
              <w:t>53,2</w:t>
            </w:r>
          </w:p>
        </w:tc>
        <w:tc>
          <w:tcPr>
            <w:tcW w:w="1100" w:type="dxa"/>
          </w:tcPr>
          <w:p w:rsidR="000F0C07" w:rsidRPr="002E6A7A" w:rsidRDefault="00497AEC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2E6A7A">
              <w:rPr>
                <w:rStyle w:val="95pt0pt"/>
                <w:rFonts w:eastAsia="Consolas"/>
                <w:sz w:val="20"/>
                <w:szCs w:val="20"/>
              </w:rPr>
              <w:t>Росс</w:t>
            </w:r>
            <w:bookmarkStart w:id="0" w:name="_GoBack"/>
            <w:bookmarkEnd w:id="0"/>
            <w:r w:rsidRPr="002E6A7A">
              <w:rPr>
                <w:rStyle w:val="95pt0pt"/>
                <w:rFonts w:eastAsia="Consolas"/>
                <w:sz w:val="20"/>
                <w:szCs w:val="20"/>
              </w:rPr>
              <w:t>ия</w:t>
            </w:r>
          </w:p>
        </w:tc>
        <w:tc>
          <w:tcPr>
            <w:tcW w:w="1559" w:type="dxa"/>
          </w:tcPr>
          <w:p w:rsidR="00420C33" w:rsidRPr="002E6A7A" w:rsidRDefault="000A7F1D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0F0C07" w:rsidRPr="002E6A7A" w:rsidRDefault="000A7F1D" w:rsidP="00DC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7A">
              <w:rPr>
                <w:rFonts w:ascii="Times New Roman" w:hAnsi="Times New Roman" w:cs="Times New Roman"/>
                <w:sz w:val="20"/>
                <w:szCs w:val="20"/>
              </w:rPr>
              <w:t>1 099 342,84</w:t>
            </w:r>
          </w:p>
        </w:tc>
        <w:tc>
          <w:tcPr>
            <w:tcW w:w="1950" w:type="dxa"/>
          </w:tcPr>
          <w:p w:rsidR="000F0C07" w:rsidRPr="002E6A7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1D" w:rsidTr="000A7F1D">
        <w:trPr>
          <w:trHeight w:val="229"/>
        </w:trPr>
        <w:tc>
          <w:tcPr>
            <w:tcW w:w="1923" w:type="dxa"/>
          </w:tcPr>
          <w:p w:rsidR="000A7F1D" w:rsidRPr="006F4A2A" w:rsidRDefault="006C4F11" w:rsidP="00420C33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Несовершеннолетний </w:t>
            </w:r>
            <w:r w:rsidR="008F00FD">
              <w:rPr>
                <w:b w:val="0"/>
                <w:sz w:val="20"/>
                <w:szCs w:val="20"/>
              </w:rPr>
              <w:t>ребенок</w:t>
            </w:r>
          </w:p>
        </w:tc>
        <w:tc>
          <w:tcPr>
            <w:tcW w:w="1905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039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92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09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43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65,4</w:t>
            </w:r>
          </w:p>
        </w:tc>
        <w:tc>
          <w:tcPr>
            <w:tcW w:w="1100" w:type="dxa"/>
          </w:tcPr>
          <w:p w:rsidR="000A7F1D" w:rsidRPr="006F4A2A" w:rsidRDefault="000A7F1D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A7F1D" w:rsidRPr="006F4A2A" w:rsidRDefault="000A7F1D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0A7F1D" w:rsidRDefault="000A7F1D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50" w:type="dxa"/>
          </w:tcPr>
          <w:p w:rsidR="000A7F1D" w:rsidRPr="006F4A2A" w:rsidRDefault="000A7F1D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0A7F1D">
        <w:trPr>
          <w:trHeight w:val="229"/>
        </w:trPr>
        <w:tc>
          <w:tcPr>
            <w:tcW w:w="1923" w:type="dxa"/>
          </w:tcPr>
          <w:p w:rsidR="00C62482" w:rsidRPr="006F4A2A" w:rsidRDefault="00C62482" w:rsidP="00C62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Климов Сергей Геннадьевич</w:t>
            </w:r>
          </w:p>
        </w:tc>
        <w:tc>
          <w:tcPr>
            <w:tcW w:w="1905" w:type="dxa"/>
          </w:tcPr>
          <w:p w:rsidR="00C62482" w:rsidRPr="006F4A2A" w:rsidRDefault="00C62482" w:rsidP="00ED0767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областного государственного бюджетного учреждения Воронежской области «</w:t>
            </w:r>
            <w:r w:rsidR="00ED0767">
              <w:rPr>
                <w:rStyle w:val="95pt0pt"/>
                <w:sz w:val="20"/>
                <w:szCs w:val="20"/>
              </w:rPr>
              <w:t>Управление природных ресурсов</w:t>
            </w:r>
            <w:r w:rsidRPr="006F4A2A">
              <w:rPr>
                <w:rStyle w:val="95pt0pt"/>
                <w:sz w:val="20"/>
                <w:szCs w:val="20"/>
              </w:rPr>
              <w:t>»</w:t>
            </w:r>
          </w:p>
        </w:tc>
        <w:tc>
          <w:tcPr>
            <w:tcW w:w="1167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 xml:space="preserve">квартира 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долевая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(1/4)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78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DD4CAB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0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не имеет</w:t>
            </w:r>
          </w:p>
        </w:tc>
        <w:tc>
          <w:tcPr>
            <w:tcW w:w="743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100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CAB" w:rsidRPr="006F4A2A" w:rsidRDefault="00DD4CAB" w:rsidP="00DD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482" w:rsidRPr="006F4A2A" w:rsidRDefault="004719F5" w:rsidP="0058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2 108 841,90</w:t>
            </w:r>
          </w:p>
        </w:tc>
        <w:tc>
          <w:tcPr>
            <w:tcW w:w="1950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0A7F1D">
        <w:trPr>
          <w:trHeight w:val="229"/>
        </w:trPr>
        <w:tc>
          <w:tcPr>
            <w:tcW w:w="1923" w:type="dxa"/>
          </w:tcPr>
          <w:p w:rsidR="00C62482" w:rsidRPr="006F4A2A" w:rsidRDefault="00C62482" w:rsidP="0027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39,4</w:t>
            </w:r>
          </w:p>
        </w:tc>
        <w:tc>
          <w:tcPr>
            <w:tcW w:w="992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0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43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1100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62482" w:rsidRPr="006F4A2A" w:rsidRDefault="000F3DEA" w:rsidP="0058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286 052,94</w:t>
            </w:r>
          </w:p>
        </w:tc>
        <w:tc>
          <w:tcPr>
            <w:tcW w:w="1950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FD" w:rsidTr="000A7F1D">
        <w:trPr>
          <w:trHeight w:val="229"/>
        </w:trPr>
        <w:tc>
          <w:tcPr>
            <w:tcW w:w="1923" w:type="dxa"/>
          </w:tcPr>
          <w:p w:rsidR="008F00FD" w:rsidRPr="008F00FD" w:rsidRDefault="008F00FD" w:rsidP="008F00FD">
            <w:pPr>
              <w:rPr>
                <w:rFonts w:ascii="Times New Roman" w:hAnsi="Times New Roman" w:cs="Times New Roman"/>
              </w:rPr>
            </w:pPr>
            <w:r w:rsidRPr="008F00F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5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039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92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43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1100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F00FD" w:rsidRPr="006F4A2A" w:rsidRDefault="008F00FD" w:rsidP="008F0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8F00FD" w:rsidRPr="006F4A2A" w:rsidRDefault="008F00FD" w:rsidP="008F0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50" w:type="dxa"/>
          </w:tcPr>
          <w:p w:rsidR="008F00FD" w:rsidRPr="006F4A2A" w:rsidRDefault="008F00FD" w:rsidP="008F00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FD" w:rsidTr="000A7F1D">
        <w:trPr>
          <w:trHeight w:val="229"/>
        </w:trPr>
        <w:tc>
          <w:tcPr>
            <w:tcW w:w="1923" w:type="dxa"/>
          </w:tcPr>
          <w:p w:rsidR="008F00FD" w:rsidRPr="008F00FD" w:rsidRDefault="008F00FD" w:rsidP="008F00FD">
            <w:pPr>
              <w:rPr>
                <w:rFonts w:ascii="Times New Roman" w:hAnsi="Times New Roman" w:cs="Times New Roman"/>
              </w:rPr>
            </w:pPr>
            <w:r w:rsidRPr="008F00F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5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039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92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43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1100" w:type="dxa"/>
          </w:tcPr>
          <w:p w:rsidR="008F00FD" w:rsidRPr="006F4A2A" w:rsidRDefault="008F00FD" w:rsidP="008F00FD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8F00FD" w:rsidRPr="006F4A2A" w:rsidRDefault="008F00FD" w:rsidP="008F0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8F00FD" w:rsidRPr="006F4A2A" w:rsidRDefault="008F00FD" w:rsidP="008F0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50" w:type="dxa"/>
          </w:tcPr>
          <w:p w:rsidR="008F00FD" w:rsidRPr="006F4A2A" w:rsidRDefault="008F00FD" w:rsidP="008F00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C33" w:rsidRDefault="00BF3C33"/>
    <w:sectPr w:rsidR="00BF3C33" w:rsidSect="008703DA">
      <w:pgSz w:w="16838" w:h="11906" w:orient="landscape"/>
      <w:pgMar w:top="1134" w:right="14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8B"/>
    <w:rsid w:val="00002FEF"/>
    <w:rsid w:val="0000628B"/>
    <w:rsid w:val="0001649F"/>
    <w:rsid w:val="00033541"/>
    <w:rsid w:val="00035DA0"/>
    <w:rsid w:val="00045B53"/>
    <w:rsid w:val="00064D82"/>
    <w:rsid w:val="00066F48"/>
    <w:rsid w:val="000705E7"/>
    <w:rsid w:val="00074C63"/>
    <w:rsid w:val="000866D1"/>
    <w:rsid w:val="00090DDC"/>
    <w:rsid w:val="000A1684"/>
    <w:rsid w:val="000A7F1D"/>
    <w:rsid w:val="000B2F1E"/>
    <w:rsid w:val="000C377F"/>
    <w:rsid w:val="000D241A"/>
    <w:rsid w:val="000E5842"/>
    <w:rsid w:val="000E694D"/>
    <w:rsid w:val="000F0C07"/>
    <w:rsid w:val="000F3A00"/>
    <w:rsid w:val="000F3DEA"/>
    <w:rsid w:val="001050FA"/>
    <w:rsid w:val="001052B6"/>
    <w:rsid w:val="00106D0D"/>
    <w:rsid w:val="0011036C"/>
    <w:rsid w:val="00116E3B"/>
    <w:rsid w:val="001300AE"/>
    <w:rsid w:val="00132DA9"/>
    <w:rsid w:val="00153E63"/>
    <w:rsid w:val="00162A06"/>
    <w:rsid w:val="00183605"/>
    <w:rsid w:val="00190D3E"/>
    <w:rsid w:val="001921CB"/>
    <w:rsid w:val="001937F3"/>
    <w:rsid w:val="001A7AD5"/>
    <w:rsid w:val="001B00F1"/>
    <w:rsid w:val="001B7889"/>
    <w:rsid w:val="001C062D"/>
    <w:rsid w:val="001D192B"/>
    <w:rsid w:val="001E1DFF"/>
    <w:rsid w:val="001F2336"/>
    <w:rsid w:val="001F270F"/>
    <w:rsid w:val="00211CF4"/>
    <w:rsid w:val="002332E8"/>
    <w:rsid w:val="002361A9"/>
    <w:rsid w:val="00244F8D"/>
    <w:rsid w:val="00250710"/>
    <w:rsid w:val="0026383F"/>
    <w:rsid w:val="002662D5"/>
    <w:rsid w:val="002709E4"/>
    <w:rsid w:val="00273853"/>
    <w:rsid w:val="00274DC9"/>
    <w:rsid w:val="002A2B67"/>
    <w:rsid w:val="002C7A02"/>
    <w:rsid w:val="002D0B2A"/>
    <w:rsid w:val="002E6A7A"/>
    <w:rsid w:val="002F6315"/>
    <w:rsid w:val="00315E59"/>
    <w:rsid w:val="00322F31"/>
    <w:rsid w:val="003260B7"/>
    <w:rsid w:val="003331DA"/>
    <w:rsid w:val="0033445E"/>
    <w:rsid w:val="00340129"/>
    <w:rsid w:val="00357038"/>
    <w:rsid w:val="003731EB"/>
    <w:rsid w:val="0039114A"/>
    <w:rsid w:val="0039306E"/>
    <w:rsid w:val="00396FD7"/>
    <w:rsid w:val="003A5085"/>
    <w:rsid w:val="003B1A38"/>
    <w:rsid w:val="003C3E9F"/>
    <w:rsid w:val="003D68D9"/>
    <w:rsid w:val="003E04AF"/>
    <w:rsid w:val="003E0E7A"/>
    <w:rsid w:val="003E5144"/>
    <w:rsid w:val="004134FE"/>
    <w:rsid w:val="004208F4"/>
    <w:rsid w:val="00420B95"/>
    <w:rsid w:val="00420C33"/>
    <w:rsid w:val="00436069"/>
    <w:rsid w:val="00440C8B"/>
    <w:rsid w:val="004518CC"/>
    <w:rsid w:val="00457633"/>
    <w:rsid w:val="00470133"/>
    <w:rsid w:val="004719F5"/>
    <w:rsid w:val="004908F3"/>
    <w:rsid w:val="00492397"/>
    <w:rsid w:val="00497AEC"/>
    <w:rsid w:val="004A3F1F"/>
    <w:rsid w:val="004B33BE"/>
    <w:rsid w:val="004B455D"/>
    <w:rsid w:val="004B55F5"/>
    <w:rsid w:val="004C3AB1"/>
    <w:rsid w:val="004D2303"/>
    <w:rsid w:val="00501059"/>
    <w:rsid w:val="00504EC0"/>
    <w:rsid w:val="00524A8D"/>
    <w:rsid w:val="00525A89"/>
    <w:rsid w:val="00533866"/>
    <w:rsid w:val="0055126A"/>
    <w:rsid w:val="00553392"/>
    <w:rsid w:val="00560CD6"/>
    <w:rsid w:val="00574AFA"/>
    <w:rsid w:val="005772E7"/>
    <w:rsid w:val="00582A96"/>
    <w:rsid w:val="00583904"/>
    <w:rsid w:val="00587722"/>
    <w:rsid w:val="005A2B36"/>
    <w:rsid w:val="005B350E"/>
    <w:rsid w:val="005D4730"/>
    <w:rsid w:val="005D5D06"/>
    <w:rsid w:val="005F6ACF"/>
    <w:rsid w:val="00614EC6"/>
    <w:rsid w:val="0062050E"/>
    <w:rsid w:val="00625D60"/>
    <w:rsid w:val="00630D01"/>
    <w:rsid w:val="00635102"/>
    <w:rsid w:val="006526C5"/>
    <w:rsid w:val="00652EF1"/>
    <w:rsid w:val="00657F7B"/>
    <w:rsid w:val="00666C89"/>
    <w:rsid w:val="00675750"/>
    <w:rsid w:val="006920A3"/>
    <w:rsid w:val="006A3E21"/>
    <w:rsid w:val="006B7E75"/>
    <w:rsid w:val="006C23AD"/>
    <w:rsid w:val="006C4F11"/>
    <w:rsid w:val="006C69EB"/>
    <w:rsid w:val="006C7F09"/>
    <w:rsid w:val="006D038E"/>
    <w:rsid w:val="006E03D6"/>
    <w:rsid w:val="006F0E92"/>
    <w:rsid w:val="006F4A2A"/>
    <w:rsid w:val="006F4F24"/>
    <w:rsid w:val="00703028"/>
    <w:rsid w:val="007049A8"/>
    <w:rsid w:val="007078FE"/>
    <w:rsid w:val="0071197F"/>
    <w:rsid w:val="00713941"/>
    <w:rsid w:val="0072700D"/>
    <w:rsid w:val="00731A43"/>
    <w:rsid w:val="00731FDD"/>
    <w:rsid w:val="00774397"/>
    <w:rsid w:val="007909B4"/>
    <w:rsid w:val="007C77F7"/>
    <w:rsid w:val="007D26AD"/>
    <w:rsid w:val="00801D6F"/>
    <w:rsid w:val="0081178B"/>
    <w:rsid w:val="00821FF6"/>
    <w:rsid w:val="00843637"/>
    <w:rsid w:val="00847DDF"/>
    <w:rsid w:val="0085077A"/>
    <w:rsid w:val="00852539"/>
    <w:rsid w:val="0086384C"/>
    <w:rsid w:val="008703DA"/>
    <w:rsid w:val="0088389D"/>
    <w:rsid w:val="008943D0"/>
    <w:rsid w:val="008A214B"/>
    <w:rsid w:val="008A550A"/>
    <w:rsid w:val="008C52D0"/>
    <w:rsid w:val="008D21D4"/>
    <w:rsid w:val="008D6E26"/>
    <w:rsid w:val="008F00FD"/>
    <w:rsid w:val="008F43E7"/>
    <w:rsid w:val="0090474F"/>
    <w:rsid w:val="0091036F"/>
    <w:rsid w:val="00935307"/>
    <w:rsid w:val="009440B3"/>
    <w:rsid w:val="00945242"/>
    <w:rsid w:val="00957D50"/>
    <w:rsid w:val="00957DDB"/>
    <w:rsid w:val="00960862"/>
    <w:rsid w:val="009814B2"/>
    <w:rsid w:val="00982D7A"/>
    <w:rsid w:val="00990F6D"/>
    <w:rsid w:val="009A374C"/>
    <w:rsid w:val="009A41C1"/>
    <w:rsid w:val="009A7980"/>
    <w:rsid w:val="009C6E06"/>
    <w:rsid w:val="009C740C"/>
    <w:rsid w:val="009D5597"/>
    <w:rsid w:val="009D7468"/>
    <w:rsid w:val="009E2545"/>
    <w:rsid w:val="00A1463F"/>
    <w:rsid w:val="00A1717B"/>
    <w:rsid w:val="00A26BEE"/>
    <w:rsid w:val="00A27EAF"/>
    <w:rsid w:val="00A32407"/>
    <w:rsid w:val="00A37E6C"/>
    <w:rsid w:val="00A53E94"/>
    <w:rsid w:val="00A54A3F"/>
    <w:rsid w:val="00A70126"/>
    <w:rsid w:val="00A91B40"/>
    <w:rsid w:val="00A953D5"/>
    <w:rsid w:val="00AA73A0"/>
    <w:rsid w:val="00AB0F44"/>
    <w:rsid w:val="00AB1F02"/>
    <w:rsid w:val="00AC17C0"/>
    <w:rsid w:val="00AD305F"/>
    <w:rsid w:val="00AE199B"/>
    <w:rsid w:val="00AE32ED"/>
    <w:rsid w:val="00AE7E85"/>
    <w:rsid w:val="00B03008"/>
    <w:rsid w:val="00B12DA6"/>
    <w:rsid w:val="00B23FEC"/>
    <w:rsid w:val="00B300FF"/>
    <w:rsid w:val="00B32C0C"/>
    <w:rsid w:val="00B379D1"/>
    <w:rsid w:val="00B5354A"/>
    <w:rsid w:val="00B66C6B"/>
    <w:rsid w:val="00B839D1"/>
    <w:rsid w:val="00B90830"/>
    <w:rsid w:val="00B95D9A"/>
    <w:rsid w:val="00BA2AFF"/>
    <w:rsid w:val="00BA57B7"/>
    <w:rsid w:val="00BB0E73"/>
    <w:rsid w:val="00BB6B64"/>
    <w:rsid w:val="00BB748E"/>
    <w:rsid w:val="00BD688B"/>
    <w:rsid w:val="00BE68DA"/>
    <w:rsid w:val="00BF3C33"/>
    <w:rsid w:val="00C03885"/>
    <w:rsid w:val="00C126DF"/>
    <w:rsid w:val="00C24005"/>
    <w:rsid w:val="00C3372C"/>
    <w:rsid w:val="00C37E0F"/>
    <w:rsid w:val="00C40E40"/>
    <w:rsid w:val="00C52D12"/>
    <w:rsid w:val="00C56EBF"/>
    <w:rsid w:val="00C62482"/>
    <w:rsid w:val="00C81AF8"/>
    <w:rsid w:val="00C90F2F"/>
    <w:rsid w:val="00C93592"/>
    <w:rsid w:val="00C93916"/>
    <w:rsid w:val="00C947DA"/>
    <w:rsid w:val="00CB2054"/>
    <w:rsid w:val="00CB7E87"/>
    <w:rsid w:val="00CC0885"/>
    <w:rsid w:val="00CC66B7"/>
    <w:rsid w:val="00CD3430"/>
    <w:rsid w:val="00CD7286"/>
    <w:rsid w:val="00CE1241"/>
    <w:rsid w:val="00CE7739"/>
    <w:rsid w:val="00CF0EA7"/>
    <w:rsid w:val="00CF5424"/>
    <w:rsid w:val="00D15C28"/>
    <w:rsid w:val="00D27A4F"/>
    <w:rsid w:val="00D4322D"/>
    <w:rsid w:val="00D62E72"/>
    <w:rsid w:val="00D65E51"/>
    <w:rsid w:val="00D72B06"/>
    <w:rsid w:val="00D835FA"/>
    <w:rsid w:val="00D96A5F"/>
    <w:rsid w:val="00DA74D9"/>
    <w:rsid w:val="00DC07FA"/>
    <w:rsid w:val="00DC30B2"/>
    <w:rsid w:val="00DD31E2"/>
    <w:rsid w:val="00DD4CAB"/>
    <w:rsid w:val="00DE55D8"/>
    <w:rsid w:val="00DF740C"/>
    <w:rsid w:val="00E11C4F"/>
    <w:rsid w:val="00E13EC2"/>
    <w:rsid w:val="00E1681C"/>
    <w:rsid w:val="00E17A47"/>
    <w:rsid w:val="00E22959"/>
    <w:rsid w:val="00E23826"/>
    <w:rsid w:val="00E24F87"/>
    <w:rsid w:val="00E25D40"/>
    <w:rsid w:val="00E330C0"/>
    <w:rsid w:val="00E43104"/>
    <w:rsid w:val="00E53F28"/>
    <w:rsid w:val="00E709A6"/>
    <w:rsid w:val="00E70F2A"/>
    <w:rsid w:val="00E734C1"/>
    <w:rsid w:val="00E84AB9"/>
    <w:rsid w:val="00E915F0"/>
    <w:rsid w:val="00E92242"/>
    <w:rsid w:val="00E94024"/>
    <w:rsid w:val="00E95F66"/>
    <w:rsid w:val="00E97451"/>
    <w:rsid w:val="00ED0767"/>
    <w:rsid w:val="00EE0BC0"/>
    <w:rsid w:val="00EF75EC"/>
    <w:rsid w:val="00F43FCB"/>
    <w:rsid w:val="00F46061"/>
    <w:rsid w:val="00F670BF"/>
    <w:rsid w:val="00F81439"/>
    <w:rsid w:val="00F85BBC"/>
    <w:rsid w:val="00F87E31"/>
    <w:rsid w:val="00F972BA"/>
    <w:rsid w:val="00FB3A26"/>
    <w:rsid w:val="00FB51F2"/>
    <w:rsid w:val="00FC16D9"/>
    <w:rsid w:val="00FE7EA5"/>
    <w:rsid w:val="00FF316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02FC-256E-4478-82B1-399ACA2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F0C0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izovo.ru/department/detail.php?ID=102434&amp;sphrase_id=25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1393-042F-4320-9D05-B3E4A23B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Козар</dc:creator>
  <cp:keywords/>
  <dc:description/>
  <cp:lastModifiedBy>Анатолий Н. Щеблыкин</cp:lastModifiedBy>
  <cp:revision>6</cp:revision>
  <cp:lastPrinted>2019-05-13T12:14:00Z</cp:lastPrinted>
  <dcterms:created xsi:type="dcterms:W3CDTF">2019-05-07T08:39:00Z</dcterms:created>
  <dcterms:modified xsi:type="dcterms:W3CDTF">2019-05-17T10:00:00Z</dcterms:modified>
</cp:coreProperties>
</file>