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в департаменте имущественных и земельных отношений Воронежской области на </w:t>
      </w:r>
      <w:r w:rsidR="00565438" w:rsidRPr="00565438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565438" w:rsidRPr="00172AF2">
        <w:rPr>
          <w:b/>
          <w:color w:val="000000"/>
          <w:sz w:val="28"/>
          <w:szCs w:val="28"/>
        </w:rPr>
        <w:t>-</w:t>
      </w:r>
      <w:r w:rsidR="00565438" w:rsidRPr="00565438">
        <w:rPr>
          <w:rFonts w:ascii="Times New Roman" w:hAnsi="Times New Roman"/>
          <w:b/>
          <w:color w:val="000000"/>
          <w:sz w:val="28"/>
          <w:szCs w:val="28"/>
        </w:rPr>
        <w:t>2023 годы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565438">
        <w:rPr>
          <w:rFonts w:ascii="Times New Roman" w:hAnsi="Times New Roman"/>
          <w:b/>
          <w:color w:val="000000"/>
          <w:sz w:val="28"/>
          <w:szCs w:val="28"/>
        </w:rPr>
        <w:t>1 квартал 2021</w:t>
      </w:r>
      <w:r w:rsidRPr="00215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65438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BB67EF" w:rsidRPr="00E02F05" w:rsidTr="00382BB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BB67EF" w:rsidRPr="00E02F05" w:rsidTr="00382BBE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BB67EF" w:rsidRPr="0004377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43775" w:rsidRDefault="00565438" w:rsidP="00F5147C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</w:t>
            </w:r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</w:t>
            </w:r>
            <w:r w:rsidR="00F514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B67EF" w:rsidRPr="006A63D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BB67E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proofErr w:type="spellStart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проведенной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разработанные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B63999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департамента, при реализации которых наиболее вероятно возникновение коррупции, одобрен на заседании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24.12.2019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27.11.2018 № 2862, от 23.07.2019 № 1910, </w:t>
            </w:r>
            <w:r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16.01.2020 № 37, </w:t>
            </w:r>
            <w:r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15.06.2020 № 1381)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которыми уточнен перечень должностей департамента, замещение которых связано с коррупционными рисками. </w:t>
            </w: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D049D" w:rsidRDefault="00BB67EF" w:rsidP="00382BB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4A38C3" w:rsidRDefault="004A38C3" w:rsidP="00382BBE">
            <w:pPr>
              <w:pStyle w:val="af2"/>
              <w:spacing w:before="0" w:beforeAutospacing="0" w:after="0" w:afterAutospacing="0"/>
              <w:jc w:val="both"/>
            </w:pPr>
            <w:r>
              <w:t>- з</w:t>
            </w:r>
            <w:r w:rsidRPr="004A38C3">
              <w:t>аключение договоров купли - 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торгов;</w:t>
            </w:r>
          </w:p>
          <w:p w:rsidR="004A38C3" w:rsidRDefault="004A38C3" w:rsidP="00382BBE">
            <w:pPr>
              <w:pStyle w:val="af2"/>
              <w:spacing w:before="0" w:beforeAutospacing="0" w:after="0" w:afterAutospacing="0"/>
              <w:jc w:val="both"/>
            </w:pPr>
            <w:r w:rsidRPr="004A38C3">
              <w:t>- 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</w:t>
            </w:r>
            <w:r>
              <w:t>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>
              <w:t>- в</w:t>
            </w:r>
            <w:r w:rsidRPr="008023EE">
              <w:t xml:space="preserve"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8" w:history="1">
              <w:r w:rsidRPr="008023EE">
                <w:t>законом</w:t>
              </w:r>
            </w:hyperlink>
            <w:r w:rsidRPr="008023EE">
              <w:t xml:space="preserve"> от 29 декабря 2006 года № 264-ФЗ «О развитии сельского хозяйства»</w:t>
            </w:r>
            <w:r>
              <w:t>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 w:rsidRPr="004A38C3">
              <w:t xml:space="preserve">- предоставление заинтересованным лицам информации по вопросам </w:t>
            </w:r>
            <w:r w:rsidRPr="004A38C3">
              <w:lastRenderedPageBreak/>
              <w:t>лицензирования заготовки, хранения, переработки и реализации лома черных металлов, цветных металлов;</w:t>
            </w:r>
          </w:p>
          <w:p w:rsidR="00E17A4F" w:rsidRPr="00B67AEC" w:rsidRDefault="004A38C3" w:rsidP="004A38C3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4A38C3">
              <w:t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  <w: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A174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952AF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BB67EF" w:rsidRPr="00A00788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</w:t>
            </w:r>
            <w:r w:rsidR="000922A4">
              <w:rPr>
                <w:rFonts w:ascii="Times New Roman" w:hAnsi="Times New Roman" w:cs="Times New Roman"/>
                <w:sz w:val="24"/>
                <w:szCs w:val="24"/>
              </w:rPr>
              <w:t xml:space="preserve"> местах. Ежемесячно проводится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алкогольной продукции в Воронежской области. 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>периоде проведено 1 заседание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котором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BB67EF" w:rsidRPr="00565438" w:rsidRDefault="00565438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результатах деятельности по управлению и распоряжению правами на результаты интеллектуальной деятельности, принадлежащими Воронежской области;</w:t>
            </w:r>
          </w:p>
          <w:p w:rsidR="00565438" w:rsidRPr="00565438" w:rsidRDefault="00565438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итогах работы по противодействию коррупции в сфере </w:t>
            </w:r>
            <w:proofErr w:type="spellStart"/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в 2020 году. О проделанной работе по повышению качества и доступности государственных услуг.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 w:rsidRPr="00483F6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BB67EF" w:rsidRPr="00E02F05" w:rsidRDefault="00BB67EF" w:rsidP="00E17A4F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E17A4F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</w:t>
            </w:r>
            <w:proofErr w:type="spell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, официальном сайте КУ ВО «Фонд государственного имущества Воронежской области»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 торгов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BB67EF" w:rsidRDefault="00103715" w:rsidP="00382BBE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01.01.2021</w:t>
            </w:r>
            <w:r w:rsidR="00BB67EF" w:rsidRPr="00C5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реестре государственного имущества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ронежской области числится 33831 объект недвижимости (14560</w:t>
            </w:r>
            <w:r w:rsidR="00BB67EF" w:rsidRPr="00C5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питального строительства и 19271</w:t>
            </w:r>
            <w:r w:rsidR="00BB67EF" w:rsidRPr="00C5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емельный участок), 27106 единиц</w:t>
            </w:r>
            <w:r w:rsidR="00BB67EF" w:rsidRPr="00C52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движимого имущества.</w:t>
            </w:r>
          </w:p>
          <w:p w:rsidR="00103715" w:rsidRPr="00103715" w:rsidRDefault="00103715" w:rsidP="00103715">
            <w:pPr>
              <w:shd w:val="clear" w:color="auto" w:fill="FFFFFF"/>
              <w:spacing w:after="0" w:line="240" w:lineRule="auto"/>
              <w:ind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инвентаризация государственного областного имущества с целью выявления неиспользуемого или используемого неэффективно (не по назначению) имущества для дальнейшего его вовлечения в оборот. </w:t>
            </w:r>
          </w:p>
          <w:p w:rsidR="00103715" w:rsidRPr="00103715" w:rsidRDefault="00103715" w:rsidP="0010371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01.01.2021 проведены следующие работы:</w:t>
            </w:r>
          </w:p>
          <w:p w:rsidR="00103715" w:rsidRPr="00103715" w:rsidRDefault="00103715" w:rsidP="00103715">
            <w:pPr>
              <w:tabs>
                <w:tab w:val="left" w:pos="0"/>
              </w:tabs>
              <w:suppressAutoHyphens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завершена проверка 35 учреждений, подведомственных управлению ветеринарии Воронежской области. Всего проверено 195 земельных участков и 602 объекта недвижимости;</w:t>
            </w:r>
          </w:p>
          <w:p w:rsidR="00103715" w:rsidRPr="00103715" w:rsidRDefault="00103715" w:rsidP="00103715">
            <w:pPr>
              <w:tabs>
                <w:tab w:val="left" w:pos="0"/>
              </w:tabs>
              <w:suppressAutoHyphens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завершена проверка земельных участков, находящихся в казне Воронежской области и предоставленных в аренду физическим и юридическим лицам. Всего проверено 180 земельных участков;</w:t>
            </w:r>
          </w:p>
          <w:p w:rsidR="00103715" w:rsidRPr="00103715" w:rsidRDefault="00103715" w:rsidP="00103715">
            <w:pPr>
              <w:tabs>
                <w:tab w:val="left" w:pos="0"/>
              </w:tabs>
              <w:suppressAutoHyphens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завершена проверка земельных участков категории земель сельскохозяйственного назначения, расположенных в 16 муниципальных районах Воронежской области. Всего проверено 804 земельных участка;</w:t>
            </w:r>
          </w:p>
          <w:p w:rsidR="00103715" w:rsidRPr="00103715" w:rsidRDefault="00103715" w:rsidP="00103715">
            <w:pPr>
              <w:tabs>
                <w:tab w:val="left" w:pos="0"/>
              </w:tabs>
              <w:suppressAutoHyphens/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проведена проверка 48 земельных участков и 285 объектов недвижимости, закрепленных за 10 учреждениями, подведомственными департаменту здравоохранения Воронежской области. </w:t>
            </w:r>
          </w:p>
          <w:p w:rsidR="00103715" w:rsidRDefault="00103715" w:rsidP="00103715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инвентаризации проведен анализ актов проверок на предмет выявления неиспользуемого государственного имущества в целях его дальнейшего вовлечения в оборот. Всего выявлено 911 объектов, не используемых региональными учреждениями и предприятиями.</w:t>
            </w:r>
          </w:p>
          <w:p w:rsidR="00103715" w:rsidRDefault="00103715" w:rsidP="00103715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Зарегистрировано право собственности Воронежской области на 699 объектов недвижимого имущества и 527 земельных участков.</w:t>
            </w:r>
          </w:p>
          <w:p w:rsidR="006117E9" w:rsidRPr="00103715" w:rsidRDefault="00CE3CA0" w:rsidP="006117E9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Осуществлены мероприятия по переводу 55 земельных участков, расположенных на территории Воронежской области, общей площадью 464,3 га из категории земель сельскохозяйственного назначения в иные категории.</w:t>
            </w:r>
          </w:p>
          <w:p w:rsidR="00CE3CA0" w:rsidRPr="00103715" w:rsidRDefault="00CE3CA0" w:rsidP="006117E9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2020г. заключено 312 договоров аренды земельных участков </w:t>
            </w:r>
            <w:proofErr w:type="spellStart"/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занятых защитными лесными насаждениями, общей площадью 908 га.</w:t>
            </w:r>
          </w:p>
          <w:p w:rsidR="00CE3CA0" w:rsidRDefault="00CE3CA0" w:rsidP="00900987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01.01.2021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реестре многодетных граждан, проживающих на территории городского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круга г. Воронеж, числится 4172 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0987">
              <w:rPr>
                <w:rFonts w:ascii="Times New Roman" w:eastAsia="Times New Roman" w:hAnsi="Times New Roman"/>
                <w:sz w:val="24"/>
                <w:szCs w:val="24"/>
              </w:rPr>
              <w:t xml:space="preserve">В 2020г. 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многодетным гражданам, проживающим на территории городского округа г. Воронеж, на безвозмездной основе для индивидуального жилищног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строительства предоставлено 96 земельных участков</w:t>
            </w:r>
            <w:r w:rsidRPr="00C52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52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E3CA0" w:rsidRDefault="00CE3CA0" w:rsidP="00CE3CA0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296 приказов департамента об утверждении охранных зон газораспределительных сетей, 15 приказов об утверждении схем расположения земельных участков областного уровня собственности на кадастровом плане территории.</w:t>
            </w:r>
          </w:p>
          <w:p w:rsidR="00CE3CA0" w:rsidRDefault="00CE3CA0" w:rsidP="00CE3CA0">
            <w:pPr>
              <w:pStyle w:val="2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Предоставлено в постоянное (бессрочное) пользование 87 земельных участков, в том числе 77 для размещения автомобильных дорог </w:t>
            </w: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регионального и межмуниципального значения, 10 участков для осуществления уставной деятельности предприятий и учреждений Воронежской области.</w:t>
            </w:r>
          </w:p>
          <w:p w:rsidR="00BB67EF" w:rsidRPr="00D33D34" w:rsidRDefault="00BB67EF" w:rsidP="00761AC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761AC7"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</w:t>
            </w:r>
            <w:r w:rsidR="00761AC7"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 поступило 751,92</w:t>
            </w:r>
            <w:r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C64BAB" w:rsidRPr="00D33D34" w:rsidRDefault="00C64BAB" w:rsidP="00382B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87,1% опрошенных (236 респондента); скорее высокое, чем низкое оценили 12,9% (35 респондентов).</w:t>
            </w:r>
          </w:p>
        </w:tc>
      </w:tr>
      <w:tr w:rsidR="00BB67EF" w:rsidRPr="00AD58F1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BB67EF" w:rsidRPr="00D33D34" w:rsidRDefault="00FA4488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2021г. </w:t>
            </w:r>
            <w:r w:rsidR="00BB67EF"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на рассмотрение в департамент поступило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  <w:r w:rsidR="00BB67EF"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BB67EF"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Плана мероприятий по противодействию коррупции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>в департаменте в 2020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900987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 поступало</w:t>
            </w:r>
          </w:p>
        </w:tc>
      </w:tr>
      <w:tr w:rsidR="00BB67EF" w:rsidRPr="00E02F05" w:rsidTr="00740BE7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гражданских служащих департамента не поступали.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BB67EF" w:rsidRPr="00E02F05" w:rsidTr="00740BE7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740B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  <w:r w:rsidR="00740BE7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BB67EF" w:rsidRPr="00E02F05" w:rsidTr="00740BE7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</w:t>
            </w: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BB67EF" w:rsidRPr="00E02F05" w:rsidTr="00740BE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90098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900987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государственные гражданские служащие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департамента обучение по образовательным программам в области противодействия коррупции</w:t>
            </w:r>
            <w:r w:rsidR="00FA4488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проходили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137F6D" w:rsidRPr="00BC1D15" w:rsidRDefault="00137F6D" w:rsidP="00740B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B3100F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C8" w:rsidRDefault="00EA34C8" w:rsidP="000F424A">
      <w:pPr>
        <w:spacing w:after="0" w:line="240" w:lineRule="auto"/>
      </w:pPr>
      <w:r>
        <w:separator/>
      </w:r>
    </w:p>
  </w:endnote>
  <w:endnote w:type="continuationSeparator" w:id="0">
    <w:p w:rsidR="00EA34C8" w:rsidRDefault="00EA34C8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C8" w:rsidRDefault="00EA34C8" w:rsidP="000F424A">
      <w:pPr>
        <w:spacing w:after="0" w:line="240" w:lineRule="auto"/>
      </w:pPr>
      <w:r>
        <w:separator/>
      </w:r>
    </w:p>
  </w:footnote>
  <w:footnote w:type="continuationSeparator" w:id="0">
    <w:p w:rsidR="00EA34C8" w:rsidRDefault="00EA34C8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3EB" w:rsidRPr="00B3100F" w:rsidRDefault="00A64D89">
        <w:pPr>
          <w:pStyle w:val="ad"/>
          <w:jc w:val="center"/>
          <w:rPr>
            <w:rFonts w:ascii="Times New Roman" w:hAnsi="Times New Roman" w:cs="Times New Roman"/>
          </w:rPr>
        </w:pPr>
        <w:r w:rsidRPr="00B3100F">
          <w:rPr>
            <w:rFonts w:ascii="Times New Roman" w:hAnsi="Times New Roman" w:cs="Times New Roman"/>
          </w:rPr>
          <w:fldChar w:fldCharType="begin"/>
        </w:r>
        <w:r w:rsidR="00AD33EB" w:rsidRPr="00B3100F">
          <w:rPr>
            <w:rFonts w:ascii="Times New Roman" w:hAnsi="Times New Roman" w:cs="Times New Roman"/>
          </w:rPr>
          <w:instrText xml:space="preserve"> PAGE   \* MERGEFORMAT </w:instrText>
        </w:r>
        <w:r w:rsidRPr="00B3100F">
          <w:rPr>
            <w:rFonts w:ascii="Times New Roman" w:hAnsi="Times New Roman" w:cs="Times New Roman"/>
          </w:rPr>
          <w:fldChar w:fldCharType="separate"/>
        </w:r>
        <w:r w:rsidR="004006B8">
          <w:rPr>
            <w:rFonts w:ascii="Times New Roman" w:hAnsi="Times New Roman" w:cs="Times New Roman"/>
            <w:noProof/>
          </w:rPr>
          <w:t>7</w:t>
        </w:r>
        <w:r w:rsidRPr="00B3100F">
          <w:rPr>
            <w:rFonts w:ascii="Times New Roman" w:hAnsi="Times New Roman" w:cs="Times New Roman"/>
          </w:rPr>
          <w:fldChar w:fldCharType="end"/>
        </w:r>
      </w:p>
    </w:sdtContent>
  </w:sdt>
  <w:p w:rsidR="00AD33EB" w:rsidRDefault="00AD33EB">
    <w:pPr>
      <w:pStyle w:val="ad"/>
    </w:pPr>
  </w:p>
  <w:p w:rsidR="00AD33EB" w:rsidRDefault="00AD33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BACAF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5."/>
      <w:lvlJc w:val="left"/>
    </w:lvl>
    <w:lvl w:ilvl="6">
      <w:start w:val="2"/>
      <w:numFmt w:val="decimal"/>
      <w:lvlText w:val="%5."/>
      <w:lvlJc w:val="left"/>
    </w:lvl>
    <w:lvl w:ilvl="7">
      <w:start w:val="2"/>
      <w:numFmt w:val="decimal"/>
      <w:lvlText w:val="%5."/>
      <w:lvlJc w:val="left"/>
    </w:lvl>
    <w:lvl w:ilvl="8">
      <w:start w:val="2"/>
      <w:numFmt w:val="decimal"/>
      <w:lvlText w:val="%5."/>
      <w:lvlJc w:val="left"/>
    </w:lvl>
  </w:abstractNum>
  <w:abstractNum w:abstractNumId="1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31235"/>
    <w:rsid w:val="00035F0D"/>
    <w:rsid w:val="00043CF6"/>
    <w:rsid w:val="0004723B"/>
    <w:rsid w:val="00055E39"/>
    <w:rsid w:val="00056E4E"/>
    <w:rsid w:val="000729BF"/>
    <w:rsid w:val="00073A97"/>
    <w:rsid w:val="00080F0B"/>
    <w:rsid w:val="00083F76"/>
    <w:rsid w:val="000922A4"/>
    <w:rsid w:val="000A6CAB"/>
    <w:rsid w:val="000D00BF"/>
    <w:rsid w:val="000D049D"/>
    <w:rsid w:val="000D4F4B"/>
    <w:rsid w:val="000E1CC2"/>
    <w:rsid w:val="000F16B4"/>
    <w:rsid w:val="000F424A"/>
    <w:rsid w:val="000F4370"/>
    <w:rsid w:val="000F670A"/>
    <w:rsid w:val="00103715"/>
    <w:rsid w:val="00110A72"/>
    <w:rsid w:val="001146A0"/>
    <w:rsid w:val="00137F6D"/>
    <w:rsid w:val="00141AD2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7791"/>
    <w:rsid w:val="00215575"/>
    <w:rsid w:val="002176C1"/>
    <w:rsid w:val="0022078A"/>
    <w:rsid w:val="0024096A"/>
    <w:rsid w:val="00243182"/>
    <w:rsid w:val="0025260F"/>
    <w:rsid w:val="002526A8"/>
    <w:rsid w:val="00260139"/>
    <w:rsid w:val="00264BBB"/>
    <w:rsid w:val="00267470"/>
    <w:rsid w:val="0027290C"/>
    <w:rsid w:val="00274D74"/>
    <w:rsid w:val="002848A7"/>
    <w:rsid w:val="00291664"/>
    <w:rsid w:val="00292862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F1C58"/>
    <w:rsid w:val="002F4442"/>
    <w:rsid w:val="0031357F"/>
    <w:rsid w:val="0031425B"/>
    <w:rsid w:val="00317388"/>
    <w:rsid w:val="00323DBF"/>
    <w:rsid w:val="00347D87"/>
    <w:rsid w:val="003501B5"/>
    <w:rsid w:val="00350812"/>
    <w:rsid w:val="0036318A"/>
    <w:rsid w:val="00367C82"/>
    <w:rsid w:val="0038326E"/>
    <w:rsid w:val="00386149"/>
    <w:rsid w:val="00390ED7"/>
    <w:rsid w:val="00393C76"/>
    <w:rsid w:val="003A07FD"/>
    <w:rsid w:val="003A2253"/>
    <w:rsid w:val="003C441B"/>
    <w:rsid w:val="003D5AF8"/>
    <w:rsid w:val="003E05DC"/>
    <w:rsid w:val="003E4E28"/>
    <w:rsid w:val="003F3CDA"/>
    <w:rsid w:val="004006B8"/>
    <w:rsid w:val="0040185F"/>
    <w:rsid w:val="0040378E"/>
    <w:rsid w:val="00412615"/>
    <w:rsid w:val="00426383"/>
    <w:rsid w:val="00430DF7"/>
    <w:rsid w:val="0044089E"/>
    <w:rsid w:val="00451574"/>
    <w:rsid w:val="00460268"/>
    <w:rsid w:val="00471168"/>
    <w:rsid w:val="00482532"/>
    <w:rsid w:val="00483F6F"/>
    <w:rsid w:val="00492182"/>
    <w:rsid w:val="00494314"/>
    <w:rsid w:val="004A3128"/>
    <w:rsid w:val="004A38C3"/>
    <w:rsid w:val="004A3D86"/>
    <w:rsid w:val="004A59F8"/>
    <w:rsid w:val="004B5684"/>
    <w:rsid w:val="004B65B8"/>
    <w:rsid w:val="004C5678"/>
    <w:rsid w:val="004E1028"/>
    <w:rsid w:val="00520BB0"/>
    <w:rsid w:val="0052198F"/>
    <w:rsid w:val="0052380F"/>
    <w:rsid w:val="00525AB5"/>
    <w:rsid w:val="005274AB"/>
    <w:rsid w:val="0053184D"/>
    <w:rsid w:val="00536596"/>
    <w:rsid w:val="005466B3"/>
    <w:rsid w:val="00552256"/>
    <w:rsid w:val="00552B4F"/>
    <w:rsid w:val="00554070"/>
    <w:rsid w:val="0056093A"/>
    <w:rsid w:val="00565438"/>
    <w:rsid w:val="00567DAF"/>
    <w:rsid w:val="00575F22"/>
    <w:rsid w:val="00583955"/>
    <w:rsid w:val="00583E31"/>
    <w:rsid w:val="00585D99"/>
    <w:rsid w:val="005A7346"/>
    <w:rsid w:val="005B0496"/>
    <w:rsid w:val="005C1290"/>
    <w:rsid w:val="005E191C"/>
    <w:rsid w:val="005F0532"/>
    <w:rsid w:val="005F2FC0"/>
    <w:rsid w:val="005F5EB8"/>
    <w:rsid w:val="00603D97"/>
    <w:rsid w:val="00605387"/>
    <w:rsid w:val="0060790F"/>
    <w:rsid w:val="0061171D"/>
    <w:rsid w:val="006117E9"/>
    <w:rsid w:val="00615F2E"/>
    <w:rsid w:val="00622D57"/>
    <w:rsid w:val="0062406A"/>
    <w:rsid w:val="006353DF"/>
    <w:rsid w:val="00640A8A"/>
    <w:rsid w:val="00642639"/>
    <w:rsid w:val="00644EE3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73D1"/>
    <w:rsid w:val="006C189E"/>
    <w:rsid w:val="006D74B5"/>
    <w:rsid w:val="006F01D8"/>
    <w:rsid w:val="006F47C3"/>
    <w:rsid w:val="006F63D2"/>
    <w:rsid w:val="0070318C"/>
    <w:rsid w:val="00706EB6"/>
    <w:rsid w:val="00723FCA"/>
    <w:rsid w:val="0072498B"/>
    <w:rsid w:val="00725F0D"/>
    <w:rsid w:val="00727EFE"/>
    <w:rsid w:val="007324C2"/>
    <w:rsid w:val="00732789"/>
    <w:rsid w:val="00736526"/>
    <w:rsid w:val="00740BE7"/>
    <w:rsid w:val="00742C1A"/>
    <w:rsid w:val="007519E4"/>
    <w:rsid w:val="007546D3"/>
    <w:rsid w:val="00761AC7"/>
    <w:rsid w:val="00793739"/>
    <w:rsid w:val="007A6FA4"/>
    <w:rsid w:val="007B7763"/>
    <w:rsid w:val="007C3BCF"/>
    <w:rsid w:val="007E2490"/>
    <w:rsid w:val="007E4362"/>
    <w:rsid w:val="007E445F"/>
    <w:rsid w:val="007E5CF3"/>
    <w:rsid w:val="007F441B"/>
    <w:rsid w:val="00803E37"/>
    <w:rsid w:val="008157EA"/>
    <w:rsid w:val="008171C0"/>
    <w:rsid w:val="008216DE"/>
    <w:rsid w:val="00843585"/>
    <w:rsid w:val="00851B2C"/>
    <w:rsid w:val="00861F14"/>
    <w:rsid w:val="00866E60"/>
    <w:rsid w:val="008701E4"/>
    <w:rsid w:val="008809D7"/>
    <w:rsid w:val="00884279"/>
    <w:rsid w:val="00885AA0"/>
    <w:rsid w:val="00887A4A"/>
    <w:rsid w:val="008927B0"/>
    <w:rsid w:val="008927D7"/>
    <w:rsid w:val="00896F96"/>
    <w:rsid w:val="008A2459"/>
    <w:rsid w:val="008A4A72"/>
    <w:rsid w:val="008B025A"/>
    <w:rsid w:val="008C3180"/>
    <w:rsid w:val="008C45A7"/>
    <w:rsid w:val="008C57F6"/>
    <w:rsid w:val="008C6477"/>
    <w:rsid w:val="008C6A50"/>
    <w:rsid w:val="008D341D"/>
    <w:rsid w:val="008D7CEF"/>
    <w:rsid w:val="008E6041"/>
    <w:rsid w:val="008F29C8"/>
    <w:rsid w:val="008F5BED"/>
    <w:rsid w:val="008F613F"/>
    <w:rsid w:val="00900987"/>
    <w:rsid w:val="009150A8"/>
    <w:rsid w:val="00930B01"/>
    <w:rsid w:val="00931C55"/>
    <w:rsid w:val="00931E2D"/>
    <w:rsid w:val="009409B6"/>
    <w:rsid w:val="00940EFB"/>
    <w:rsid w:val="00955F55"/>
    <w:rsid w:val="009624B2"/>
    <w:rsid w:val="009637FC"/>
    <w:rsid w:val="00970527"/>
    <w:rsid w:val="00970BB9"/>
    <w:rsid w:val="0097142C"/>
    <w:rsid w:val="009813F5"/>
    <w:rsid w:val="00984596"/>
    <w:rsid w:val="00990FF2"/>
    <w:rsid w:val="009A4DD6"/>
    <w:rsid w:val="009A77B7"/>
    <w:rsid w:val="009B0203"/>
    <w:rsid w:val="009C3FDF"/>
    <w:rsid w:val="009C54E7"/>
    <w:rsid w:val="009D1E45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4DAB"/>
    <w:rsid w:val="00A51007"/>
    <w:rsid w:val="00A53016"/>
    <w:rsid w:val="00A57F84"/>
    <w:rsid w:val="00A62BF8"/>
    <w:rsid w:val="00A64D89"/>
    <w:rsid w:val="00A804A9"/>
    <w:rsid w:val="00A960F5"/>
    <w:rsid w:val="00A96E63"/>
    <w:rsid w:val="00AA663E"/>
    <w:rsid w:val="00AB7930"/>
    <w:rsid w:val="00AC5152"/>
    <w:rsid w:val="00AD33EB"/>
    <w:rsid w:val="00AD4751"/>
    <w:rsid w:val="00AD58F1"/>
    <w:rsid w:val="00AE183C"/>
    <w:rsid w:val="00AE3F3F"/>
    <w:rsid w:val="00AE756E"/>
    <w:rsid w:val="00AF374C"/>
    <w:rsid w:val="00B1245E"/>
    <w:rsid w:val="00B12BF6"/>
    <w:rsid w:val="00B3100F"/>
    <w:rsid w:val="00B33D35"/>
    <w:rsid w:val="00B6477F"/>
    <w:rsid w:val="00B65BC0"/>
    <w:rsid w:val="00B73AD6"/>
    <w:rsid w:val="00B75C3F"/>
    <w:rsid w:val="00B8191E"/>
    <w:rsid w:val="00B87585"/>
    <w:rsid w:val="00B87951"/>
    <w:rsid w:val="00B91822"/>
    <w:rsid w:val="00BA0C91"/>
    <w:rsid w:val="00BB381B"/>
    <w:rsid w:val="00BB67EF"/>
    <w:rsid w:val="00BC1D15"/>
    <w:rsid w:val="00BC2B01"/>
    <w:rsid w:val="00BD4D17"/>
    <w:rsid w:val="00C07F89"/>
    <w:rsid w:val="00C1191C"/>
    <w:rsid w:val="00C17E4D"/>
    <w:rsid w:val="00C20C00"/>
    <w:rsid w:val="00C421F4"/>
    <w:rsid w:val="00C42D49"/>
    <w:rsid w:val="00C60A98"/>
    <w:rsid w:val="00C63770"/>
    <w:rsid w:val="00C64BAB"/>
    <w:rsid w:val="00C747C0"/>
    <w:rsid w:val="00C856CA"/>
    <w:rsid w:val="00C91FBA"/>
    <w:rsid w:val="00CB105E"/>
    <w:rsid w:val="00CC789E"/>
    <w:rsid w:val="00CD34FB"/>
    <w:rsid w:val="00CD3574"/>
    <w:rsid w:val="00CD6BD7"/>
    <w:rsid w:val="00CE1800"/>
    <w:rsid w:val="00CE2F1D"/>
    <w:rsid w:val="00CE3CA0"/>
    <w:rsid w:val="00CF1A2E"/>
    <w:rsid w:val="00CF252D"/>
    <w:rsid w:val="00CF27C0"/>
    <w:rsid w:val="00D01AF2"/>
    <w:rsid w:val="00D01D7D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77862"/>
    <w:rsid w:val="00D94A71"/>
    <w:rsid w:val="00D957DE"/>
    <w:rsid w:val="00D9757C"/>
    <w:rsid w:val="00DA63F5"/>
    <w:rsid w:val="00DB2B3C"/>
    <w:rsid w:val="00DC14D8"/>
    <w:rsid w:val="00DD1CE2"/>
    <w:rsid w:val="00DD4545"/>
    <w:rsid w:val="00DE4FD5"/>
    <w:rsid w:val="00DF328D"/>
    <w:rsid w:val="00E1111B"/>
    <w:rsid w:val="00E17A4F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A34C8"/>
    <w:rsid w:val="00EB187F"/>
    <w:rsid w:val="00EC4852"/>
    <w:rsid w:val="00ED084A"/>
    <w:rsid w:val="00ED0A03"/>
    <w:rsid w:val="00EE4969"/>
    <w:rsid w:val="00F11946"/>
    <w:rsid w:val="00F11987"/>
    <w:rsid w:val="00F13FAB"/>
    <w:rsid w:val="00F145EF"/>
    <w:rsid w:val="00F179CA"/>
    <w:rsid w:val="00F25681"/>
    <w:rsid w:val="00F27258"/>
    <w:rsid w:val="00F35CB1"/>
    <w:rsid w:val="00F43DBF"/>
    <w:rsid w:val="00F45C76"/>
    <w:rsid w:val="00F5147C"/>
    <w:rsid w:val="00F517CC"/>
    <w:rsid w:val="00F51925"/>
    <w:rsid w:val="00F538BA"/>
    <w:rsid w:val="00F57774"/>
    <w:rsid w:val="00F64798"/>
    <w:rsid w:val="00F72E31"/>
    <w:rsid w:val="00F73E27"/>
    <w:rsid w:val="00F75105"/>
    <w:rsid w:val="00F86860"/>
    <w:rsid w:val="00F86A3A"/>
    <w:rsid w:val="00F8707F"/>
    <w:rsid w:val="00F9154A"/>
    <w:rsid w:val="00FA1745"/>
    <w:rsid w:val="00FA4488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1,List Paragraph"/>
    <w:basedOn w:val="a"/>
    <w:link w:val="ac"/>
    <w:uiPriority w:val="34"/>
    <w:qFormat/>
    <w:rsid w:val="00CF27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24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0D049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BB67E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B67EF"/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ПАРАГРАФ Знак,Абзац списка1 Знак,List Paragraph Знак"/>
    <w:link w:val="ab"/>
    <w:uiPriority w:val="34"/>
    <w:locked/>
    <w:rsid w:val="00BB67EF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117E9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C10DBCA619997485181971770D5D4C017CB321E8D21BE1A582333E5nBp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3F36-2948-45D3-9064-1F31D12E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12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55</cp:revision>
  <cp:lastPrinted>2021-04-09T13:18:00Z</cp:lastPrinted>
  <dcterms:created xsi:type="dcterms:W3CDTF">2019-12-19T08:02:00Z</dcterms:created>
  <dcterms:modified xsi:type="dcterms:W3CDTF">2021-04-14T11:21:00Z</dcterms:modified>
</cp:coreProperties>
</file>