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-2020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D049D" w:rsidRPr="005534D5" w:rsidRDefault="00663174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174"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667D8F">
        <w:rPr>
          <w:rFonts w:ascii="Times New Roman" w:hAnsi="Times New Roman"/>
          <w:b/>
          <w:color w:val="000000"/>
          <w:sz w:val="28"/>
          <w:szCs w:val="28"/>
        </w:rPr>
        <w:t xml:space="preserve">9 месяцев </w:t>
      </w:r>
      <w:r w:rsidR="000D049D" w:rsidRPr="000D049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00932" w:rsidRPr="00667D8F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0D049D" w:rsidRPr="00137F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49D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0D049D" w:rsidRPr="00E02F05" w:rsidTr="000D049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0D049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04377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43775" w:rsidRDefault="00520BB0" w:rsidP="00667D8F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67D8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r w:rsidR="008D676E" w:rsidRPr="00C332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Pr="00C332A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</w:t>
            </w:r>
            <w:r w:rsidR="00C332AA" w:rsidRPr="00C332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8D676E" w:rsidRPr="00C332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204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proofErr w:type="spellStart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проведенной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, разработанные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B63999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и актуализация перечня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3D253F" w:rsidP="00A44DA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департамента, при реализации которых наиболее вероятно возникновение коррупции, одобрен на заседании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24.12.2019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уализация Перечня должностей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E28" w:rsidRDefault="0027290C" w:rsidP="00851B2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 w:rsidR="003E4E28">
              <w:rPr>
                <w:rFonts w:ascii="Times New Roman" w:eastAsia="Times New Roman" w:hAnsi="Times New Roman" w:cs="Times New Roman"/>
                <w:sz w:val="24"/>
                <w:szCs w:val="24"/>
              </w:rPr>
              <w:t>, от 27.11.2018 № 2862</w:t>
            </w:r>
            <w:r w:rsid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23.07.2019 № 1910, </w:t>
            </w:r>
            <w:r w:rsidR="00851B2C"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, от 16.01.2020 № 37</w:t>
            </w:r>
            <w:r w:rsidR="009F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36A3E"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15.06.2020 № 1381</w:t>
            </w:r>
            <w:r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которыми уточнен перечень </w:t>
            </w:r>
            <w:r w:rsidR="00D957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епартамента, замещение которых связано с коррупционными рисками</w:t>
            </w:r>
            <w:r w:rsidR="00FE4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 w:rsidR="009F03F5"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D957D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A15516" w:rsidRPr="003D253F" w:rsidRDefault="003D253F" w:rsidP="00851B2C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3D253F"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Воронежской области, а также на земельных участках, государственная собственность на которые не разграничена, расположенных в границах городского округа город Воронеж;</w:t>
            </w:r>
          </w:p>
          <w:p w:rsidR="003D253F" w:rsidRPr="003D253F" w:rsidRDefault="003D253F" w:rsidP="00851B2C">
            <w:pPr>
              <w:pStyle w:val="af2"/>
              <w:spacing w:before="0" w:beforeAutospacing="0" w:after="0" w:afterAutospacing="0"/>
              <w:jc w:val="both"/>
            </w:pPr>
            <w:r w:rsidRPr="003D253F">
              <w:t>- выдача копий архивных документов, подтверждающих право на владение землей;</w:t>
            </w:r>
          </w:p>
          <w:p w:rsidR="003D253F" w:rsidRDefault="003D253F" w:rsidP="00851B2C">
            <w:pPr>
              <w:pStyle w:val="af2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</w:t>
            </w:r>
            <w:r w:rsidR="008023EE">
              <w:t>;</w:t>
            </w:r>
          </w:p>
          <w:p w:rsidR="008023EE" w:rsidRDefault="008023EE" w:rsidP="00851B2C">
            <w:pPr>
              <w:pStyle w:val="af2"/>
              <w:spacing w:before="0" w:beforeAutospacing="0" w:after="0" w:afterAutospacing="0"/>
              <w:jc w:val="both"/>
            </w:pPr>
            <w:r>
              <w:t>- в</w:t>
            </w:r>
            <w:r w:rsidRPr="008023EE">
              <w:t xml:space="preserve"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</w:t>
            </w:r>
            <w:r w:rsidRPr="008023EE">
              <w:lastRenderedPageBreak/>
              <w:t xml:space="preserve">признаваемыми таковыми в соответствии с Федеральным </w:t>
            </w:r>
            <w:hyperlink r:id="rId8" w:history="1">
              <w:r w:rsidRPr="008023EE">
                <w:t>законом</w:t>
              </w:r>
            </w:hyperlink>
            <w:r w:rsidRPr="008023EE">
              <w:t xml:space="preserve"> от 29 декабря 2006 года № 264-ФЗ «О развитии сельского хозяйства»</w:t>
            </w:r>
            <w:r>
              <w:t>;</w:t>
            </w:r>
          </w:p>
          <w:p w:rsidR="008023EE" w:rsidRDefault="008023EE" w:rsidP="00851B2C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8023EE">
              <w:t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</w:t>
            </w:r>
            <w:r w:rsidR="00667D8F">
              <w:t>;</w:t>
            </w:r>
          </w:p>
          <w:p w:rsidR="00667D8F" w:rsidRDefault="00667D8F" w:rsidP="00851B2C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667D8F">
      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территории;</w:t>
            </w:r>
          </w:p>
          <w:p w:rsidR="00667D8F" w:rsidRPr="00667D8F" w:rsidRDefault="00667D8F" w:rsidP="00851B2C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667D8F">
              <w:t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разграничена;</w:t>
            </w:r>
          </w:p>
          <w:p w:rsidR="00667D8F" w:rsidRPr="00B67AEC" w:rsidRDefault="00667D8F" w:rsidP="00851B2C">
            <w:pPr>
              <w:pStyle w:val="af2"/>
              <w:spacing w:before="0" w:beforeAutospacing="0" w:after="0" w:afterAutospacing="0"/>
              <w:jc w:val="both"/>
            </w:pPr>
            <w:r w:rsidRPr="00667D8F">
      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A174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об исполнении Плана противодействия коррупции на странице департамента на официальном сайте правительства </w:t>
            </w: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C6CB0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E75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="0038326E"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имущественно-земельных</w:t>
            </w:r>
            <w:proofErr w:type="spellEnd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0D049D" w:rsidRPr="007324C2" w:rsidRDefault="000D049D" w:rsidP="003D253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7324C2" w:rsidRDefault="00FC6CB0" w:rsidP="003D253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2 заседания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3D253F" w:rsidRPr="003D253F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б избрании председателя, заместителя председателя и секретаря Общественного совета при департаменте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253F" w:rsidRPr="003D253F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итогах работы по противодействию коррупции в сфере </w:t>
            </w:r>
            <w:proofErr w:type="spell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в 2019 году.</w:t>
            </w:r>
          </w:p>
          <w:p w:rsidR="00931C55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доклада об антимонопольном </w:t>
            </w:r>
            <w:proofErr w:type="spell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B0" w:rsidRPr="00FC6CB0" w:rsidRDefault="00FC6CB0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актуальных вопросах деятельности Общественного совета при департаменте;</w:t>
            </w:r>
          </w:p>
          <w:p w:rsidR="00FC6CB0" w:rsidRPr="00FC6CB0" w:rsidRDefault="00FC6CB0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Национального рейтинга состояния инвестиционного климата Воронежской области по показателю «Удовлетворенность процедурами получения арендных площадей, предоставляемых регионом субъектам малого бизнеса». О мерах по совершенствованию арендных отношений;</w:t>
            </w:r>
          </w:p>
          <w:p w:rsidR="00FC6CB0" w:rsidRPr="00FC6CB0" w:rsidRDefault="00FC6CB0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предоставлении мер поддержки организациям, осуществляющим деятельность в сфере наружной рекламы;</w:t>
            </w:r>
          </w:p>
          <w:p w:rsidR="00FC6CB0" w:rsidRDefault="00FC6CB0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реализации имущества на электронных площадках и оптимизации процесса проведения торгов.</w:t>
            </w:r>
          </w:p>
          <w:p w:rsidR="00825395" w:rsidRDefault="00825395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395" w:rsidRPr="007324C2" w:rsidRDefault="00825395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</w:t>
            </w:r>
            <w:proofErr w:type="spellStart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0D049D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  <w:p w:rsidR="00FD2E43" w:rsidRPr="00E02F05" w:rsidRDefault="00FD2E43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Default="000D049D" w:rsidP="00D51C77">
            <w:pPr>
              <w:spacing w:after="0" w:line="240" w:lineRule="auto"/>
              <w:ind w:firstLine="282"/>
              <w:jc w:val="both"/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</w:t>
            </w:r>
            <w:proofErr w:type="spell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, официальном сайте КУ ВО «Фонд государственного имущества Воронежской области» (</w:t>
            </w:r>
            <w:r w:rsidR="00D51C77">
              <w:rPr>
                <w:rFonts w:ascii="Times New Roman" w:eastAsia="Times New Roman" w:hAnsi="Times New Roman"/>
                <w:sz w:val="24"/>
                <w:szCs w:val="24"/>
              </w:rPr>
              <w:t>организатор торгов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  <w:p w:rsidR="00FD2E43" w:rsidRPr="00E02F05" w:rsidRDefault="00FD2E43" w:rsidP="00D51C7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DE329A" w:rsidRPr="000D4F4B" w:rsidRDefault="00BC675D" w:rsidP="00652478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01.07.2020 в реестре государственного имущества Воронежской области числится 32842 объекта недвижимости (14081 объект капитального строительства и 18761 земельный участок), 26099 единиц движимого имущества.</w:t>
            </w:r>
          </w:p>
          <w:p w:rsidR="00652478" w:rsidRPr="00652478" w:rsidRDefault="00652478" w:rsidP="00652478">
            <w:pPr>
              <w:pStyle w:val="af7"/>
              <w:ind w:firstLine="284"/>
              <w:jc w:val="both"/>
            </w:pPr>
            <w:r w:rsidRPr="00652478">
              <w:t xml:space="preserve">Завершена проверка фактического использования 195 земельных участков, закрепленных за учреждениями, подведомственными управлению ветеринарии области, а также 180 земельных участков, отнесенных к имуществу казны и находящихся в аренде физических и юридических лиц. </w:t>
            </w:r>
          </w:p>
          <w:p w:rsidR="002A743D" w:rsidRPr="00715A0B" w:rsidRDefault="00652478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Проведена проверка фактического использования 500 из 805 земельных участков категории земель сельскохозяйственного назначения, 48 из 830 земельных участков, закрепленных за учреждениями, подведомственными департаменту здравоохранению Воронежской области.</w:t>
            </w:r>
          </w:p>
          <w:p w:rsidR="00663174" w:rsidRDefault="00BC675D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190 объектов недвижимого имущества и 305 земельных участков.</w:t>
            </w:r>
          </w:p>
          <w:p w:rsidR="00663174" w:rsidRPr="00652478" w:rsidRDefault="00663174" w:rsidP="00652478">
            <w:pPr>
              <w:pStyle w:val="ab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в собственность Воронежской области 3 земельных участка сельскохозяйственного назначения, занятых водными объектами (прудами), расположенными на территории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, Терновского и Кантемировского муниципальных районов, общей площадью 44,9044 га.</w:t>
            </w:r>
          </w:p>
          <w:p w:rsidR="00652478" w:rsidRDefault="00652478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158 земельных участков сельскохозяйственного назначения общей площадью 5143 га, расположенных на территории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Кантемировского, 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районов.</w:t>
            </w:r>
          </w:p>
          <w:p w:rsidR="00663174" w:rsidRPr="005C760E" w:rsidRDefault="00BC675D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 перевод 25 земельных участков общей площадью 304 га на территории Аннинского, Бобровского,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Грибановского,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Подгоренского, Павловского 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районов из категории земель сельскохозяйственного назначения в категорию земель промышленности и иного специального назначения.</w:t>
            </w:r>
          </w:p>
          <w:p w:rsidR="00BC675D" w:rsidRPr="00652478" w:rsidRDefault="00BC675D" w:rsidP="00652478">
            <w:pPr>
              <w:pStyle w:val="ab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135 договоров аренды на 179 земельных участков сельскохозяйственного назначения общей площадью 6997 га на сумму 22063,7 тыс. руб.</w:t>
            </w:r>
          </w:p>
          <w:p w:rsidR="00BC675D" w:rsidRPr="00652478" w:rsidRDefault="00BC675D" w:rsidP="00652478">
            <w:pPr>
              <w:pStyle w:val="ab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13 договоров купли-продажи на 14 земельных участков сельскохозяйственного назначения общей площадью 1537 га на сумму 43055,5тыс. руб.</w:t>
            </w:r>
          </w:p>
          <w:p w:rsidR="00BC675D" w:rsidRPr="00652478" w:rsidRDefault="00BC675D" w:rsidP="00652478">
            <w:pPr>
              <w:pStyle w:val="ab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109 договоров аренды на 109 земельных участков, занятых защитными лесными насаждениями, общей площадью 451 га на сумму 390,4 тыс. руб.</w:t>
            </w:r>
          </w:p>
          <w:p w:rsidR="00652478" w:rsidRPr="00652478" w:rsidRDefault="00652478" w:rsidP="00652478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в постоянное (бессрочное) пользование 28 земельных участков для осуществления уставной деятельности предприятий и </w:t>
            </w: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Воронежской области.</w:t>
            </w:r>
          </w:p>
          <w:p w:rsidR="00652478" w:rsidRPr="00652478" w:rsidRDefault="00652478" w:rsidP="00652478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13 договоров безвозмездного пользования земельных участков областного уровня собственности.</w:t>
            </w:r>
          </w:p>
          <w:p w:rsidR="00E5046A" w:rsidRPr="005C760E" w:rsidRDefault="00652478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4 приказа на выдачу разрешений на использование двух земельных участков без их предоставления и установления сервитутов.</w:t>
            </w:r>
          </w:p>
          <w:p w:rsidR="00663174" w:rsidRPr="00652478" w:rsidRDefault="00BC675D" w:rsidP="00652478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01.07</w:t>
            </w:r>
            <w:r w:rsidR="00663174"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.2020 в реестре многодетных граждан, проживающих на территории городского </w:t>
            </w: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округа г. Воронеж, числится 3840 </w:t>
            </w:r>
            <w:r w:rsidR="00663174"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  <w:p w:rsidR="002A743D" w:rsidRPr="00652478" w:rsidRDefault="00BC675D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начала </w:t>
            </w:r>
            <w:r w:rsidR="002A743D"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многодетным гражданам, проживающим на территории городского округа г. Воронеж, на безвозмездной основе для индивидуального жилищног</w:t>
            </w: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о строительства предоставлено 38</w:t>
            </w:r>
            <w:r w:rsidR="002A743D"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участков.   </w:t>
            </w:r>
          </w:p>
          <w:p w:rsidR="00DA728D" w:rsidRPr="00652478" w:rsidRDefault="00DA728D" w:rsidP="00652478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8 приказов департамента об утверждении схем расположения земельных участков областного уровня собственности на кадастровом плане территории, 85 приказов об утверждении охранных зон газораспределительных сетей.</w:t>
            </w:r>
          </w:p>
          <w:p w:rsidR="00DA728D" w:rsidRPr="00652478" w:rsidRDefault="00DA728D" w:rsidP="006524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 государственный контракт на выполнение комплекса кадастровых работ по формированию и постановке на государственный кадастровый учет 279 земельных участков, занимаемых площадными объектами газоснабжения, а также подготовку документации для установления границ зон с особыми условиями использования территории (охранных зон 113 объектов газоснабжения). </w:t>
            </w:r>
          </w:p>
          <w:p w:rsidR="00AA6E9F" w:rsidRPr="00D33D34" w:rsidRDefault="00AA6E9F" w:rsidP="0065238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5238F"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года от использования и распоряжения государственным имуществом Воронежской области в бюджет Воронежской области поступило </w:t>
            </w:r>
            <w:r w:rsidR="00274E82"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  <w:r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4E82"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C7BA9">
              <w:rPr>
                <w:rFonts w:ascii="Times New Roman" w:eastAsia="Times New Roman" w:hAnsi="Times New Roman" w:cs="Times New Roman"/>
                <w:sz w:val="24"/>
                <w:szCs w:val="24"/>
              </w:rPr>
              <w:t>9 млн. руб.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0B1383" w:rsidRPr="00D33D34" w:rsidRDefault="000B1383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целом </w:t>
            </w:r>
            <w:r w:rsidRPr="00B87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предоставления услуг как высокое оценили 83,5% опрошенных (502 респондента); скорее высокое, чем низкое оценили 16,4% (99 респондентов).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D33D34" w:rsidRDefault="007E5CF3" w:rsidP="00A02F19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рассмотрение в департамент поступило </w:t>
            </w:r>
            <w:r w:rsidR="00A02B60" w:rsidRPr="00A02B60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  <w:r w:rsidR="00A02F19"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B60">
              <w:rPr>
                <w:rFonts w:ascii="Times New Roman" w:hAnsi="Times New Roman" w:cs="Times New Roman"/>
                <w:sz w:val="24"/>
                <w:szCs w:val="24"/>
              </w:rPr>
              <w:t>обращений.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8A2459"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  <w:r w:rsidR="000D049D" w:rsidRP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Плана мероприятий по противодействию коррупции </w:t>
            </w:r>
            <w:r w:rsidR="00884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342F">
              <w:rPr>
                <w:rFonts w:ascii="Times New Roman" w:hAnsi="Times New Roman" w:cs="Times New Roman"/>
                <w:sz w:val="24"/>
                <w:szCs w:val="24"/>
              </w:rPr>
              <w:t>департаменте в 2019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заседании Общественного совета при департаменте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CF1A2E"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141AD2" w:rsidRPr="00E02F05" w:rsidRDefault="007C1DD1" w:rsidP="008023E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802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отчетном периоде 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выявлению несоблюдения запретов и ограничений, требований к служебному поведению, мер по предотвращению и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C0E8F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  <w:r w:rsidR="000D049D" w:rsidRPr="005C0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C0E8F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C0E8F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703E92" w:rsidP="005C0E8F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поступило 2</w:t>
            </w:r>
            <w:r w:rsidR="005C0E8F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3184D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3184D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 служащих</w:t>
            </w:r>
            <w:r w:rsidR="0053184D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департамента о выполнении иной оплачиваемой работы</w:t>
            </w:r>
            <w:r w:rsidR="0053184D" w:rsidRPr="005C0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426641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426641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72" w:rsidRPr="00361A4B" w:rsidRDefault="008A4A72" w:rsidP="009135F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E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3184D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="005D2EA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453AF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453AFD"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1146A0" w:rsidRPr="00E02F05" w:rsidTr="009D2577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</w:p>
          <w:p w:rsidR="001146A0" w:rsidRPr="001146A0" w:rsidRDefault="001146A0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1146A0" w:rsidRPr="00E02F05" w:rsidTr="007A6FA4">
        <w:trPr>
          <w:trHeight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426641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</w:t>
            </w:r>
            <w:r w:rsidR="001146A0"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B0496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40078B" w:rsidRDefault="00426641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</w:t>
            </w:r>
            <w:r w:rsidR="001146A0"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40078B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</w:t>
            </w:r>
            <w:r w:rsidR="00DE4FD5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40078B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3184D" w:rsidP="00154306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154306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5 </w:t>
            </w:r>
            <w:r w:rsidR="005B0496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госуда</w:t>
            </w:r>
            <w:r w:rsidR="00154306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</w:t>
            </w:r>
            <w:r w:rsidR="001B7791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="005B0496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</w:t>
            </w:r>
            <w:r w:rsidR="00453AFD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="00154306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прошли обучение </w:t>
            </w:r>
            <w:r w:rsidR="00154306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 образовательным программам в области противодействия коррупции</w:t>
            </w:r>
            <w:r w:rsidR="00067363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6C189E">
      <w:headerReference w:type="default" r:id="rId12"/>
      <w:pgSz w:w="16838" w:h="11906" w:orient="landscape"/>
      <w:pgMar w:top="1985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8F" w:rsidRDefault="00BF138F" w:rsidP="000F424A">
      <w:pPr>
        <w:spacing w:after="0" w:line="240" w:lineRule="auto"/>
      </w:pPr>
      <w:r>
        <w:separator/>
      </w:r>
    </w:p>
  </w:endnote>
  <w:endnote w:type="continuationSeparator" w:id="0">
    <w:p w:rsidR="00BF138F" w:rsidRDefault="00BF138F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8F" w:rsidRDefault="00BF138F" w:rsidP="000F424A">
      <w:pPr>
        <w:spacing w:after="0" w:line="240" w:lineRule="auto"/>
      </w:pPr>
      <w:r>
        <w:separator/>
      </w:r>
    </w:p>
  </w:footnote>
  <w:footnote w:type="continuationSeparator" w:id="0">
    <w:p w:rsidR="00BF138F" w:rsidRDefault="00BF138F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Content>
      <w:p w:rsidR="009D2577" w:rsidRDefault="007633DC">
        <w:pPr>
          <w:pStyle w:val="ad"/>
          <w:jc w:val="center"/>
        </w:pPr>
        <w:fldSimple w:instr=" PAGE   \* MERGEFORMAT ">
          <w:r w:rsidR="001C7DA8">
            <w:rPr>
              <w:noProof/>
            </w:rPr>
            <w:t>13</w:t>
          </w:r>
        </w:fldSimple>
      </w:p>
    </w:sdtContent>
  </w:sdt>
  <w:p w:rsidR="009D2577" w:rsidRDefault="009D2577">
    <w:pPr>
      <w:pStyle w:val="ad"/>
    </w:pPr>
  </w:p>
  <w:p w:rsidR="009D2577" w:rsidRDefault="009D257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17F5D"/>
    <w:rsid w:val="00035F0D"/>
    <w:rsid w:val="00043775"/>
    <w:rsid w:val="00043CF6"/>
    <w:rsid w:val="0004723B"/>
    <w:rsid w:val="00056E4E"/>
    <w:rsid w:val="00067363"/>
    <w:rsid w:val="00073A97"/>
    <w:rsid w:val="00083F76"/>
    <w:rsid w:val="000A6CAB"/>
    <w:rsid w:val="000B1383"/>
    <w:rsid w:val="000D049D"/>
    <w:rsid w:val="000D4F4B"/>
    <w:rsid w:val="000F16B4"/>
    <w:rsid w:val="000F424A"/>
    <w:rsid w:val="000F4370"/>
    <w:rsid w:val="000F670A"/>
    <w:rsid w:val="00110A72"/>
    <w:rsid w:val="001146A0"/>
    <w:rsid w:val="0011756A"/>
    <w:rsid w:val="00137F6D"/>
    <w:rsid w:val="0014146C"/>
    <w:rsid w:val="00141AD2"/>
    <w:rsid w:val="00154306"/>
    <w:rsid w:val="00154D02"/>
    <w:rsid w:val="00182ECC"/>
    <w:rsid w:val="00185413"/>
    <w:rsid w:val="00190808"/>
    <w:rsid w:val="001962D2"/>
    <w:rsid w:val="001A517C"/>
    <w:rsid w:val="001B1063"/>
    <w:rsid w:val="001B18D8"/>
    <w:rsid w:val="001B7791"/>
    <w:rsid w:val="001C7DA8"/>
    <w:rsid w:val="001F2774"/>
    <w:rsid w:val="002176C1"/>
    <w:rsid w:val="0024096A"/>
    <w:rsid w:val="00243182"/>
    <w:rsid w:val="00260139"/>
    <w:rsid w:val="00264BBB"/>
    <w:rsid w:val="00267470"/>
    <w:rsid w:val="0027290C"/>
    <w:rsid w:val="00274D74"/>
    <w:rsid w:val="00274E82"/>
    <w:rsid w:val="002848A7"/>
    <w:rsid w:val="002A370B"/>
    <w:rsid w:val="002A743D"/>
    <w:rsid w:val="002B15D5"/>
    <w:rsid w:val="002B5C6F"/>
    <w:rsid w:val="002B664A"/>
    <w:rsid w:val="002C1C1C"/>
    <w:rsid w:val="002D2689"/>
    <w:rsid w:val="003041C6"/>
    <w:rsid w:val="0031357F"/>
    <w:rsid w:val="0031425B"/>
    <w:rsid w:val="00323DBF"/>
    <w:rsid w:val="00334DE0"/>
    <w:rsid w:val="003477CA"/>
    <w:rsid w:val="00347D87"/>
    <w:rsid w:val="0036318A"/>
    <w:rsid w:val="00367C82"/>
    <w:rsid w:val="0038326E"/>
    <w:rsid w:val="00390ED7"/>
    <w:rsid w:val="00393C76"/>
    <w:rsid w:val="003A07FD"/>
    <w:rsid w:val="003A15C5"/>
    <w:rsid w:val="003A2253"/>
    <w:rsid w:val="003C01B7"/>
    <w:rsid w:val="003D253F"/>
    <w:rsid w:val="003D4A15"/>
    <w:rsid w:val="003D5AF8"/>
    <w:rsid w:val="003E4E28"/>
    <w:rsid w:val="0040078B"/>
    <w:rsid w:val="0040378E"/>
    <w:rsid w:val="00426383"/>
    <w:rsid w:val="00426641"/>
    <w:rsid w:val="00430DF7"/>
    <w:rsid w:val="00436A3E"/>
    <w:rsid w:val="0044089E"/>
    <w:rsid w:val="00451574"/>
    <w:rsid w:val="00453AFD"/>
    <w:rsid w:val="00471168"/>
    <w:rsid w:val="00473F50"/>
    <w:rsid w:val="00482532"/>
    <w:rsid w:val="00483F6F"/>
    <w:rsid w:val="00492182"/>
    <w:rsid w:val="00494314"/>
    <w:rsid w:val="004A3128"/>
    <w:rsid w:val="004A3D86"/>
    <w:rsid w:val="004A59F8"/>
    <w:rsid w:val="004B65B8"/>
    <w:rsid w:val="004C5678"/>
    <w:rsid w:val="004E1028"/>
    <w:rsid w:val="004F6DAF"/>
    <w:rsid w:val="0050088B"/>
    <w:rsid w:val="00520BB0"/>
    <w:rsid w:val="0052380F"/>
    <w:rsid w:val="0053184D"/>
    <w:rsid w:val="00536596"/>
    <w:rsid w:val="005466B3"/>
    <w:rsid w:val="00552256"/>
    <w:rsid w:val="00554070"/>
    <w:rsid w:val="0056093A"/>
    <w:rsid w:val="00575C14"/>
    <w:rsid w:val="00575F22"/>
    <w:rsid w:val="00583955"/>
    <w:rsid w:val="00583E31"/>
    <w:rsid w:val="005A7346"/>
    <w:rsid w:val="005B0496"/>
    <w:rsid w:val="005C0E8F"/>
    <w:rsid w:val="005C760E"/>
    <w:rsid w:val="005D2EAD"/>
    <w:rsid w:val="005E191C"/>
    <w:rsid w:val="005F2FC0"/>
    <w:rsid w:val="005F5EB8"/>
    <w:rsid w:val="00605387"/>
    <w:rsid w:val="0061171D"/>
    <w:rsid w:val="00615F2E"/>
    <w:rsid w:val="00622D57"/>
    <w:rsid w:val="006353DF"/>
    <w:rsid w:val="00640A8A"/>
    <w:rsid w:val="00644EE3"/>
    <w:rsid w:val="0065238F"/>
    <w:rsid w:val="00652478"/>
    <w:rsid w:val="00663174"/>
    <w:rsid w:val="00664807"/>
    <w:rsid w:val="00667CAE"/>
    <w:rsid w:val="00667D8F"/>
    <w:rsid w:val="00671CEC"/>
    <w:rsid w:val="006743C3"/>
    <w:rsid w:val="006750D5"/>
    <w:rsid w:val="006829D4"/>
    <w:rsid w:val="00683390"/>
    <w:rsid w:val="006864A5"/>
    <w:rsid w:val="00686FFB"/>
    <w:rsid w:val="006A477C"/>
    <w:rsid w:val="006A7480"/>
    <w:rsid w:val="006B73D1"/>
    <w:rsid w:val="006C189E"/>
    <w:rsid w:val="006C2047"/>
    <w:rsid w:val="006D4121"/>
    <w:rsid w:val="006F01D8"/>
    <w:rsid w:val="006F47C3"/>
    <w:rsid w:val="006F63D2"/>
    <w:rsid w:val="00700932"/>
    <w:rsid w:val="00703E92"/>
    <w:rsid w:val="00706EB6"/>
    <w:rsid w:val="00715A0B"/>
    <w:rsid w:val="00724001"/>
    <w:rsid w:val="00725F0D"/>
    <w:rsid w:val="007324C2"/>
    <w:rsid w:val="00732789"/>
    <w:rsid w:val="00742C1A"/>
    <w:rsid w:val="007519E4"/>
    <w:rsid w:val="007633DC"/>
    <w:rsid w:val="00783FA2"/>
    <w:rsid w:val="007A6FA4"/>
    <w:rsid w:val="007B7763"/>
    <w:rsid w:val="007C1DD1"/>
    <w:rsid w:val="007C3BCF"/>
    <w:rsid w:val="007E2490"/>
    <w:rsid w:val="007E5CF3"/>
    <w:rsid w:val="008023EE"/>
    <w:rsid w:val="00803E37"/>
    <w:rsid w:val="008157EA"/>
    <w:rsid w:val="008171C0"/>
    <w:rsid w:val="008216DE"/>
    <w:rsid w:val="00825395"/>
    <w:rsid w:val="00851B2C"/>
    <w:rsid w:val="00861F14"/>
    <w:rsid w:val="00866E60"/>
    <w:rsid w:val="008701E4"/>
    <w:rsid w:val="008809D7"/>
    <w:rsid w:val="00884279"/>
    <w:rsid w:val="00885AA0"/>
    <w:rsid w:val="00887A4A"/>
    <w:rsid w:val="008927D7"/>
    <w:rsid w:val="008A2459"/>
    <w:rsid w:val="008A4A72"/>
    <w:rsid w:val="008C3180"/>
    <w:rsid w:val="008C57F6"/>
    <w:rsid w:val="008C6477"/>
    <w:rsid w:val="008D341D"/>
    <w:rsid w:val="008D676E"/>
    <w:rsid w:val="008E4D73"/>
    <w:rsid w:val="008F29C8"/>
    <w:rsid w:val="008F613F"/>
    <w:rsid w:val="009135F0"/>
    <w:rsid w:val="009150A8"/>
    <w:rsid w:val="00930B01"/>
    <w:rsid w:val="00931C55"/>
    <w:rsid w:val="00931E2D"/>
    <w:rsid w:val="00955F55"/>
    <w:rsid w:val="009624B2"/>
    <w:rsid w:val="009637FC"/>
    <w:rsid w:val="00970BB9"/>
    <w:rsid w:val="0097142C"/>
    <w:rsid w:val="009813F5"/>
    <w:rsid w:val="00984596"/>
    <w:rsid w:val="00990FF2"/>
    <w:rsid w:val="009A4DD6"/>
    <w:rsid w:val="009A7F62"/>
    <w:rsid w:val="009B0203"/>
    <w:rsid w:val="009C3FDF"/>
    <w:rsid w:val="009D2577"/>
    <w:rsid w:val="009D416F"/>
    <w:rsid w:val="009E4144"/>
    <w:rsid w:val="009F03F5"/>
    <w:rsid w:val="00A00C26"/>
    <w:rsid w:val="00A02B60"/>
    <w:rsid w:val="00A02F19"/>
    <w:rsid w:val="00A06AFF"/>
    <w:rsid w:val="00A10D2E"/>
    <w:rsid w:val="00A12869"/>
    <w:rsid w:val="00A15516"/>
    <w:rsid w:val="00A335BC"/>
    <w:rsid w:val="00A44DAB"/>
    <w:rsid w:val="00A46C7A"/>
    <w:rsid w:val="00A476C6"/>
    <w:rsid w:val="00A51007"/>
    <w:rsid w:val="00A54CBD"/>
    <w:rsid w:val="00A57F84"/>
    <w:rsid w:val="00A61CAF"/>
    <w:rsid w:val="00A804A9"/>
    <w:rsid w:val="00A960F5"/>
    <w:rsid w:val="00A96E63"/>
    <w:rsid w:val="00AA4E73"/>
    <w:rsid w:val="00AA6E9F"/>
    <w:rsid w:val="00AB7930"/>
    <w:rsid w:val="00AD497B"/>
    <w:rsid w:val="00AD5F54"/>
    <w:rsid w:val="00AE183C"/>
    <w:rsid w:val="00AE3F3F"/>
    <w:rsid w:val="00AE4958"/>
    <w:rsid w:val="00AE756E"/>
    <w:rsid w:val="00B314EF"/>
    <w:rsid w:val="00B31FEA"/>
    <w:rsid w:val="00B4016D"/>
    <w:rsid w:val="00B65BC0"/>
    <w:rsid w:val="00B75C3F"/>
    <w:rsid w:val="00B91822"/>
    <w:rsid w:val="00BA0C91"/>
    <w:rsid w:val="00BB381B"/>
    <w:rsid w:val="00BC1D15"/>
    <w:rsid w:val="00BC2B01"/>
    <w:rsid w:val="00BC675D"/>
    <w:rsid w:val="00BD4D17"/>
    <w:rsid w:val="00BE23C0"/>
    <w:rsid w:val="00BF138F"/>
    <w:rsid w:val="00C07F89"/>
    <w:rsid w:val="00C1191C"/>
    <w:rsid w:val="00C20C00"/>
    <w:rsid w:val="00C332AA"/>
    <w:rsid w:val="00C4112B"/>
    <w:rsid w:val="00C60A98"/>
    <w:rsid w:val="00C747C0"/>
    <w:rsid w:val="00C856CA"/>
    <w:rsid w:val="00CB105E"/>
    <w:rsid w:val="00CD1875"/>
    <w:rsid w:val="00CD34FB"/>
    <w:rsid w:val="00CD3574"/>
    <w:rsid w:val="00CE2F1D"/>
    <w:rsid w:val="00CF1A2E"/>
    <w:rsid w:val="00CF27C0"/>
    <w:rsid w:val="00D01AF2"/>
    <w:rsid w:val="00D01D7D"/>
    <w:rsid w:val="00D06C81"/>
    <w:rsid w:val="00D13D3B"/>
    <w:rsid w:val="00D2510F"/>
    <w:rsid w:val="00D27BB4"/>
    <w:rsid w:val="00D31475"/>
    <w:rsid w:val="00D33D34"/>
    <w:rsid w:val="00D37D28"/>
    <w:rsid w:val="00D42270"/>
    <w:rsid w:val="00D51C77"/>
    <w:rsid w:val="00D530AA"/>
    <w:rsid w:val="00D53494"/>
    <w:rsid w:val="00D5372D"/>
    <w:rsid w:val="00D54F2D"/>
    <w:rsid w:val="00D957DE"/>
    <w:rsid w:val="00D9757C"/>
    <w:rsid w:val="00DA728D"/>
    <w:rsid w:val="00DB2B3C"/>
    <w:rsid w:val="00DC7BA9"/>
    <w:rsid w:val="00DD4545"/>
    <w:rsid w:val="00DE329A"/>
    <w:rsid w:val="00DE4FD5"/>
    <w:rsid w:val="00E21AD2"/>
    <w:rsid w:val="00E24573"/>
    <w:rsid w:val="00E26130"/>
    <w:rsid w:val="00E343D0"/>
    <w:rsid w:val="00E429E2"/>
    <w:rsid w:val="00E43163"/>
    <w:rsid w:val="00E5046A"/>
    <w:rsid w:val="00E52E94"/>
    <w:rsid w:val="00E62C07"/>
    <w:rsid w:val="00E71E42"/>
    <w:rsid w:val="00E850FB"/>
    <w:rsid w:val="00E90A83"/>
    <w:rsid w:val="00EA342F"/>
    <w:rsid w:val="00ED0266"/>
    <w:rsid w:val="00ED084A"/>
    <w:rsid w:val="00ED0A03"/>
    <w:rsid w:val="00ED3412"/>
    <w:rsid w:val="00ED73B3"/>
    <w:rsid w:val="00EE4969"/>
    <w:rsid w:val="00F11946"/>
    <w:rsid w:val="00F11987"/>
    <w:rsid w:val="00F13FAB"/>
    <w:rsid w:val="00F145EF"/>
    <w:rsid w:val="00F179CA"/>
    <w:rsid w:val="00F43DBF"/>
    <w:rsid w:val="00F45C76"/>
    <w:rsid w:val="00F517CC"/>
    <w:rsid w:val="00F5558D"/>
    <w:rsid w:val="00F72E31"/>
    <w:rsid w:val="00F75105"/>
    <w:rsid w:val="00F86A3A"/>
    <w:rsid w:val="00F8707F"/>
    <w:rsid w:val="00FA1745"/>
    <w:rsid w:val="00FC0059"/>
    <w:rsid w:val="00FC03D4"/>
    <w:rsid w:val="00FC6CB0"/>
    <w:rsid w:val="00FD2E43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1,List Paragraph"/>
    <w:basedOn w:val="a"/>
    <w:link w:val="ac"/>
    <w:uiPriority w:val="34"/>
    <w:qFormat/>
    <w:rsid w:val="00CF27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24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0D049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DE329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DE329A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A476C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476C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ПАРАГРАФ Знак,Абзац списка1 Знак,List Paragraph Знак"/>
    <w:link w:val="ab"/>
    <w:uiPriority w:val="34"/>
    <w:locked/>
    <w:rsid w:val="00663174"/>
    <w:rPr>
      <w:rFonts w:eastAsiaTheme="minorEastAsia"/>
      <w:lang w:eastAsia="ru-RU"/>
    </w:rPr>
  </w:style>
  <w:style w:type="paragraph" w:styleId="af7">
    <w:name w:val="No Spacing"/>
    <w:basedOn w:val="a"/>
    <w:uiPriority w:val="1"/>
    <w:qFormat/>
    <w:rsid w:val="0065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C10DBCA619997485181971770D5D4C017CB321E8D21BE1A582333E5nBp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9472-2EEC-4A66-9182-B64DD3BC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3</cp:revision>
  <cp:lastPrinted>2020-10-01T12:53:00Z</cp:lastPrinted>
  <dcterms:created xsi:type="dcterms:W3CDTF">2020-10-08T08:08:00Z</dcterms:created>
  <dcterms:modified xsi:type="dcterms:W3CDTF">2020-10-08T08:08:00Z</dcterms:modified>
</cp:coreProperties>
</file>