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6093" w:rsidTr="00FE60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6093" w:rsidRDefault="00FE6093">
            <w:pPr>
              <w:pStyle w:val="ConsPlusNormal"/>
              <w:outlineLvl w:val="0"/>
            </w:pPr>
            <w:bookmarkStart w:id="0" w:name="_GoBack"/>
            <w:bookmarkEnd w:id="0"/>
            <w:r>
              <w:t>6 ноября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E6093" w:rsidRDefault="00FE6093">
            <w:pPr>
              <w:pStyle w:val="ConsPlusNormal"/>
              <w:jc w:val="right"/>
              <w:outlineLvl w:val="0"/>
            </w:pPr>
            <w:r>
              <w:t>N 162-ОЗ</w:t>
            </w:r>
          </w:p>
        </w:tc>
      </w:tr>
    </w:tbl>
    <w:p w:rsidR="00FE6093" w:rsidRDefault="00FE6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Title"/>
        <w:jc w:val="center"/>
      </w:pPr>
      <w:r>
        <w:t>ВОРОНЕЖСКАЯ ОБЛАСТЬ</w:t>
      </w:r>
    </w:p>
    <w:p w:rsidR="00FE6093" w:rsidRDefault="00FE6093">
      <w:pPr>
        <w:pStyle w:val="ConsPlusTitle"/>
        <w:jc w:val="center"/>
      </w:pPr>
    </w:p>
    <w:p w:rsidR="00FE6093" w:rsidRDefault="00FE6093">
      <w:pPr>
        <w:pStyle w:val="ConsPlusTitle"/>
        <w:jc w:val="center"/>
      </w:pPr>
      <w:r>
        <w:t>ЗАКОН</w:t>
      </w:r>
    </w:p>
    <w:p w:rsidR="00FE6093" w:rsidRDefault="00FE6093">
      <w:pPr>
        <w:pStyle w:val="ConsPlusTitle"/>
        <w:jc w:val="center"/>
      </w:pPr>
    </w:p>
    <w:p w:rsidR="00FE6093" w:rsidRDefault="00FE6093">
      <w:pPr>
        <w:pStyle w:val="ConsPlusTitle"/>
        <w:jc w:val="center"/>
      </w:pPr>
      <w:r>
        <w:t>ОБ УСТАНОВЛЕНИИ ПРЕДЕЛЬНЫХ СРОКОВ, НА КОТОРЫЕ МОГУТ</w:t>
      </w:r>
    </w:p>
    <w:p w:rsidR="00FE6093" w:rsidRDefault="00FE6093">
      <w:pPr>
        <w:pStyle w:val="ConsPlusTitle"/>
        <w:jc w:val="center"/>
      </w:pPr>
      <w:r>
        <w:t xml:space="preserve">ЗАКЛЮЧАТЬСЯ ДОГОВОРЫ НА УСТАНОВКУ И ЭКСПЛУАТАЦИЮ </w:t>
      </w:r>
      <w:proofErr w:type="gramStart"/>
      <w:r>
        <w:t>РЕКЛАМНЫХ</w:t>
      </w:r>
      <w:proofErr w:type="gramEnd"/>
    </w:p>
    <w:p w:rsidR="00FE6093" w:rsidRDefault="00FE6093">
      <w:pPr>
        <w:pStyle w:val="ConsPlusTitle"/>
        <w:jc w:val="center"/>
      </w:pPr>
      <w:r>
        <w:t>КОНСТРУКЦИЙ НА ТЕРРИТОРИИ ВОРОНЕЖСКОЙ ОБЛАСТИ</w:t>
      </w:r>
    </w:p>
    <w:p w:rsidR="00FE6093" w:rsidRDefault="00FE6093">
      <w:pPr>
        <w:pStyle w:val="ConsPlusNormal"/>
        <w:jc w:val="center"/>
      </w:pPr>
    </w:p>
    <w:p w:rsidR="00FE6093" w:rsidRDefault="00FE6093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FE6093" w:rsidRDefault="00FE6093">
      <w:pPr>
        <w:pStyle w:val="ConsPlusNormal"/>
        <w:jc w:val="right"/>
      </w:pPr>
      <w:r>
        <w:t>31 октября 2013 года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</w:pPr>
      <w:r>
        <w:t>Настоящий Закон Воронежской области устанавливает 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Воронежской области.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  <w:outlineLvl w:val="1"/>
      </w:pPr>
      <w:r>
        <w:t>Статья 1. Основные понятия, используемые в настоящем Законе Воронежской области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</w:pPr>
      <w:r>
        <w:t xml:space="preserve">В целях настоящего Закона Воронежской области используются понятия, предусмотренные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рекламе".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  <w:outlineLvl w:val="1"/>
      </w:pPr>
      <w:r>
        <w:t>Статья 2. Предельные сроки, на которые могут заключаться договоры на установку и эксплуатацию рекламных конструкций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</w:pPr>
      <w:r>
        <w:t xml:space="preserve">1. Предельные </w:t>
      </w:r>
      <w:hyperlink w:anchor="P49" w:history="1">
        <w:r>
          <w:rPr>
            <w:color w:val="0000FF"/>
          </w:rPr>
          <w:t>сроки</w:t>
        </w:r>
      </w:hyperlink>
      <w:r>
        <w:t>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устанавливаются согласно приложению к настоящему Закону Воронежской области.</w:t>
      </w:r>
    </w:p>
    <w:p w:rsidR="00FE6093" w:rsidRDefault="00FE6093">
      <w:pPr>
        <w:pStyle w:val="ConsPlusNormal"/>
        <w:spacing w:before="220"/>
        <w:ind w:firstLine="540"/>
        <w:jc w:val="both"/>
      </w:pPr>
      <w:r>
        <w:t xml:space="preserve">2. В случае если рекламная конструкция совмещает несколько способов демонстрации рекламы, то при установлении срока, на который будет заключаться договор на установку и эксплуатацию рекламной конструкции, применяется больший предельный </w:t>
      </w:r>
      <w:hyperlink w:anchor="P49" w:history="1">
        <w:r>
          <w:rPr>
            <w:color w:val="0000FF"/>
          </w:rPr>
          <w:t>срок</w:t>
        </w:r>
      </w:hyperlink>
      <w:r>
        <w:t>, предусмотренный в приложении к настоящему Закону Воронежской области.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  <w:outlineLvl w:val="1"/>
      </w:pPr>
      <w:r>
        <w:t>Статья 3. Вступление в силу настоящего Закона Воронежской области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jc w:val="right"/>
      </w:pPr>
      <w:r>
        <w:t>Губернатор Воронежской области</w:t>
      </w:r>
    </w:p>
    <w:p w:rsidR="00FE6093" w:rsidRDefault="00FE6093">
      <w:pPr>
        <w:pStyle w:val="ConsPlusNormal"/>
        <w:jc w:val="right"/>
      </w:pPr>
      <w:r>
        <w:t>А.В.ГОРДЕЕВ</w:t>
      </w:r>
    </w:p>
    <w:p w:rsidR="00FE6093" w:rsidRDefault="00FE6093">
      <w:pPr>
        <w:pStyle w:val="ConsPlusNormal"/>
      </w:pPr>
      <w:r>
        <w:t>г. Воронеж,</w:t>
      </w:r>
    </w:p>
    <w:p w:rsidR="00FE6093" w:rsidRDefault="00FE6093">
      <w:pPr>
        <w:pStyle w:val="ConsPlusNormal"/>
        <w:spacing w:before="220"/>
      </w:pPr>
      <w:r>
        <w:t>06.11.2013</w:t>
      </w:r>
    </w:p>
    <w:p w:rsidR="00FE6093" w:rsidRDefault="00FE6093">
      <w:pPr>
        <w:pStyle w:val="ConsPlusNormal"/>
        <w:spacing w:before="220"/>
      </w:pPr>
      <w:r>
        <w:t>N 162-ОЗ</w:t>
      </w:r>
    </w:p>
    <w:p w:rsidR="00FE6093" w:rsidRDefault="00FE6093">
      <w:pPr>
        <w:pStyle w:val="ConsPlusNormal"/>
      </w:pPr>
    </w:p>
    <w:p w:rsidR="00FE6093" w:rsidRDefault="00FE6093">
      <w:pPr>
        <w:pStyle w:val="ConsPlusNormal"/>
      </w:pPr>
    </w:p>
    <w:p w:rsidR="00FE6093" w:rsidRDefault="00FE6093">
      <w:pPr>
        <w:pStyle w:val="ConsPlusNormal"/>
      </w:pP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jc w:val="right"/>
        <w:outlineLvl w:val="0"/>
      </w:pPr>
      <w:r>
        <w:lastRenderedPageBreak/>
        <w:t>Приложение</w:t>
      </w:r>
    </w:p>
    <w:p w:rsidR="00FE6093" w:rsidRDefault="00FE6093">
      <w:pPr>
        <w:pStyle w:val="ConsPlusNormal"/>
        <w:jc w:val="right"/>
      </w:pPr>
      <w:r>
        <w:t>к Закону</w:t>
      </w:r>
    </w:p>
    <w:p w:rsidR="00FE6093" w:rsidRDefault="00FE6093">
      <w:pPr>
        <w:pStyle w:val="ConsPlusNormal"/>
        <w:jc w:val="right"/>
      </w:pPr>
      <w:r>
        <w:t>Воронежской области</w:t>
      </w:r>
    </w:p>
    <w:p w:rsidR="00FE6093" w:rsidRDefault="00FE6093">
      <w:pPr>
        <w:pStyle w:val="ConsPlusNormal"/>
        <w:jc w:val="right"/>
      </w:pPr>
      <w:r>
        <w:t>"Об установлении предельных сроков, на которые</w:t>
      </w:r>
    </w:p>
    <w:p w:rsidR="00FE6093" w:rsidRDefault="00FE6093">
      <w:pPr>
        <w:pStyle w:val="ConsPlusNormal"/>
        <w:jc w:val="right"/>
      </w:pPr>
      <w:r>
        <w:t>могут заключаться договоры на установку и</w:t>
      </w:r>
    </w:p>
    <w:p w:rsidR="00FE6093" w:rsidRDefault="00FE6093">
      <w:pPr>
        <w:pStyle w:val="ConsPlusNormal"/>
        <w:jc w:val="right"/>
      </w:pPr>
      <w:r>
        <w:t>эксплуатацию рекламных конструкций</w:t>
      </w:r>
    </w:p>
    <w:p w:rsidR="00FE6093" w:rsidRDefault="00FE6093">
      <w:pPr>
        <w:pStyle w:val="ConsPlusNormal"/>
        <w:jc w:val="right"/>
      </w:pPr>
      <w:r>
        <w:t>на территории Воронежской области"</w:t>
      </w:r>
    </w:p>
    <w:p w:rsidR="00FE6093" w:rsidRDefault="00FE6093">
      <w:pPr>
        <w:pStyle w:val="ConsPlusNormal"/>
        <w:jc w:val="right"/>
      </w:pPr>
      <w:r>
        <w:t>от 06.11.2013 N 162-ОЗ</w:t>
      </w:r>
    </w:p>
    <w:p w:rsidR="00FE6093" w:rsidRDefault="00FE6093">
      <w:pPr>
        <w:pStyle w:val="ConsPlusNormal"/>
        <w:jc w:val="right"/>
      </w:pPr>
    </w:p>
    <w:p w:rsidR="00FE6093" w:rsidRDefault="00FE6093">
      <w:pPr>
        <w:pStyle w:val="ConsPlusTitle"/>
        <w:jc w:val="center"/>
      </w:pPr>
      <w:bookmarkStart w:id="1" w:name="P49"/>
      <w:bookmarkEnd w:id="1"/>
      <w:r>
        <w:t>ПРЕДЕЛЬНЫЕ СРОКИ,</w:t>
      </w:r>
    </w:p>
    <w:p w:rsidR="00FE6093" w:rsidRDefault="00FE6093">
      <w:pPr>
        <w:pStyle w:val="ConsPlusTitle"/>
        <w:jc w:val="center"/>
      </w:pPr>
      <w:r>
        <w:t>НА КОТОРЫЕ МОГУТ ЗАКЛЮЧАТЬСЯ ДОГОВОРЫ НА УСТАНОВКУ И</w:t>
      </w:r>
    </w:p>
    <w:p w:rsidR="00FE6093" w:rsidRDefault="00FE6093">
      <w:pPr>
        <w:pStyle w:val="ConsPlusTitle"/>
        <w:jc w:val="center"/>
      </w:pPr>
      <w:r>
        <w:t>ЭКСПЛУАТАЦИЮ РЕКЛАМНЫХ КОНСТРУКЦИЙ В ЗАВИСИМОСТИ ОТ ТИПОВ И</w:t>
      </w:r>
    </w:p>
    <w:p w:rsidR="00FE6093" w:rsidRDefault="00FE6093">
      <w:pPr>
        <w:pStyle w:val="ConsPlusTitle"/>
        <w:jc w:val="center"/>
      </w:pPr>
      <w:r>
        <w:t>ВИДОВ РЕКЛАМНЫХ КОНСТРУКЦИЙ И ПРИМЕНЯЕМЫХ ТЕХНОЛОГИЙ</w:t>
      </w:r>
    </w:p>
    <w:p w:rsidR="00FE6093" w:rsidRDefault="00FE6093">
      <w:pPr>
        <w:pStyle w:val="ConsPlusTitle"/>
        <w:jc w:val="center"/>
      </w:pPr>
      <w:r>
        <w:t>ДЕМОНСТРАЦИЙ РЕКЛАМЫ НА ТЕРРИТОРИИ ВОРОНЕЖСКОЙ ОБЛАСТИ</w:t>
      </w:r>
    </w:p>
    <w:p w:rsidR="00FE6093" w:rsidRDefault="00FE609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5640"/>
        <w:gridCol w:w="1920"/>
      </w:tblGrid>
      <w:tr w:rsidR="00FE6093">
        <w:trPr>
          <w:trHeight w:val="240"/>
        </w:trPr>
        <w:tc>
          <w:tcPr>
            <w:tcW w:w="1800" w:type="dxa"/>
          </w:tcPr>
          <w:p w:rsidR="00FE6093" w:rsidRDefault="00FE6093">
            <w:pPr>
              <w:pStyle w:val="ConsPlusNonformat"/>
              <w:jc w:val="both"/>
            </w:pPr>
            <w:r>
              <w:t xml:space="preserve">Тип </w:t>
            </w:r>
            <w:proofErr w:type="gramStart"/>
            <w:r>
              <w:t>рекламной</w:t>
            </w:r>
            <w:proofErr w:type="gramEnd"/>
          </w:p>
          <w:p w:rsidR="00FE6093" w:rsidRDefault="00FE6093">
            <w:pPr>
              <w:pStyle w:val="ConsPlusNonformat"/>
              <w:jc w:val="both"/>
            </w:pPr>
            <w:r>
              <w:t xml:space="preserve"> конструкции </w:t>
            </w:r>
          </w:p>
        </w:tc>
        <w:tc>
          <w:tcPr>
            <w:tcW w:w="5640" w:type="dxa"/>
          </w:tcPr>
          <w:p w:rsidR="00FE6093" w:rsidRDefault="00FE6093">
            <w:pPr>
              <w:pStyle w:val="ConsPlusNonformat"/>
              <w:jc w:val="both"/>
            </w:pPr>
            <w:r>
              <w:t xml:space="preserve">          Вид рекламной конструкции          </w:t>
            </w:r>
          </w:p>
        </w:tc>
        <w:tc>
          <w:tcPr>
            <w:tcW w:w="1920" w:type="dxa"/>
          </w:tcPr>
          <w:p w:rsidR="00FE6093" w:rsidRDefault="00FE6093">
            <w:pPr>
              <w:pStyle w:val="ConsPlusNonformat"/>
              <w:jc w:val="both"/>
            </w:pPr>
            <w:r>
              <w:t xml:space="preserve">  Предельный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  срок,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который могут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заключаться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договоры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установку и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эксплуатацию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 рекламных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конструкций,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     лет      </w:t>
            </w:r>
          </w:p>
        </w:tc>
      </w:tr>
      <w:tr w:rsidR="00FE6093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1      </w:t>
            </w:r>
          </w:p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                2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FE6093">
        <w:trPr>
          <w:trHeight w:val="240"/>
        </w:trPr>
        <w:tc>
          <w:tcPr>
            <w:tcW w:w="1800" w:type="dxa"/>
            <w:vMerge w:val="restart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Отдельно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стоящие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рекламные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конструкции  </w:t>
            </w:r>
          </w:p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</w:t>
            </w:r>
            <w:proofErr w:type="gramStart"/>
            <w:r>
              <w:t>без</w:t>
            </w:r>
            <w:proofErr w:type="gramEnd"/>
            <w:r>
              <w:t xml:space="preserve"> автоматической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смены изображения и без подсвета;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</w:t>
            </w:r>
            <w:proofErr w:type="spellStart"/>
            <w:r>
              <w:t>флаговые</w:t>
            </w:r>
            <w:proofErr w:type="spellEnd"/>
            <w:r>
              <w:t xml:space="preserve"> композиции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менее или </w:t>
            </w:r>
            <w:proofErr w:type="gramStart"/>
            <w:r>
              <w:t>равной</w:t>
            </w:r>
            <w:proofErr w:type="gramEnd"/>
            <w:r>
              <w:t xml:space="preserve"> 18 кв. м с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внешним или внутренним подсветом, </w:t>
            </w:r>
            <w:proofErr w:type="gramStart"/>
            <w:r>
              <w:t>без</w:t>
            </w:r>
            <w:proofErr w:type="gramEnd"/>
            <w:r>
              <w:t xml:space="preserve">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автоматической смены изображения;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динамические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менее или </w:t>
            </w:r>
            <w:proofErr w:type="gramStart"/>
            <w:r>
              <w:t>равной</w:t>
            </w:r>
            <w:proofErr w:type="gramEnd"/>
            <w:r>
              <w:t xml:space="preserve"> 18 кв. м с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внешним или внутренним подсветом, </w:t>
            </w:r>
            <w:proofErr w:type="gramStart"/>
            <w:r>
              <w:t>с</w:t>
            </w:r>
            <w:proofErr w:type="gramEnd"/>
            <w:r>
              <w:t xml:space="preserve">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автоматической сменой изображения: роллер,   </w:t>
            </w:r>
          </w:p>
          <w:p w:rsidR="00FE6093" w:rsidRDefault="00FE6093">
            <w:pPr>
              <w:pStyle w:val="ConsPlusNonformat"/>
              <w:jc w:val="both"/>
            </w:pPr>
            <w:proofErr w:type="spellStart"/>
            <w:r>
              <w:t>призматрон</w:t>
            </w:r>
            <w:proofErr w:type="spellEnd"/>
            <w:r>
              <w:t xml:space="preserve"> и пр.;       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более 18 кв. м с </w:t>
            </w:r>
            <w:proofErr w:type="gramStart"/>
            <w:r>
              <w:t>внешним</w:t>
            </w:r>
            <w:proofErr w:type="gramEnd"/>
            <w:r>
              <w:t xml:space="preserve"> или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внутренним подсветом, без </w:t>
            </w:r>
            <w:proofErr w:type="gramStart"/>
            <w:r>
              <w:t>автоматической</w:t>
            </w:r>
            <w:proofErr w:type="gramEnd"/>
            <w:r>
              <w:t xml:space="preserve">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смены изображения;      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объемно-пространственные (нестандартные)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конструкции, выполненные по </w:t>
            </w:r>
            <w:proofErr w:type="gramStart"/>
            <w:r>
              <w:t>индивидуальным</w:t>
            </w:r>
            <w:proofErr w:type="gramEnd"/>
            <w:r>
              <w:t xml:space="preserve">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проектам, без подсвета; 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</w:t>
            </w:r>
            <w:proofErr w:type="spellStart"/>
            <w:r>
              <w:t>имиджевые</w:t>
            </w:r>
            <w:proofErr w:type="spellEnd"/>
            <w:r>
              <w:t xml:space="preserve"> конструкции без подсвета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(брендовые изображения);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порталы (арочные конструкции)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7       </w:t>
            </w:r>
          </w:p>
        </w:tc>
      </w:tr>
      <w:tr w:rsidR="00FE6093">
        <w:trPr>
          <w:trHeight w:val="240"/>
        </w:trPr>
        <w:tc>
          <w:tcPr>
            <w:tcW w:w="1800" w:type="dxa"/>
            <w:vMerge w:val="restart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</w:p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более 18 кв. м с </w:t>
            </w:r>
            <w:proofErr w:type="gramStart"/>
            <w:r>
              <w:t>внешним</w:t>
            </w:r>
            <w:proofErr w:type="gramEnd"/>
            <w:r>
              <w:t xml:space="preserve"> или </w:t>
            </w:r>
          </w:p>
          <w:p w:rsidR="00FE6093" w:rsidRDefault="00FE6093">
            <w:pPr>
              <w:pStyle w:val="ConsPlusNonformat"/>
              <w:jc w:val="both"/>
            </w:pPr>
            <w:r>
              <w:t>внутренним подсветом, с автоматической сменой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изображения: роллер, </w:t>
            </w:r>
            <w:proofErr w:type="spellStart"/>
            <w:r>
              <w:t>призматрон</w:t>
            </w:r>
            <w:proofErr w:type="spellEnd"/>
            <w:r>
              <w:t xml:space="preserve"> и пр.;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объемно-пространственные (нестандартные)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конструкции, выполненные по </w:t>
            </w:r>
            <w:proofErr w:type="gramStart"/>
            <w:r>
              <w:t>индивидуальным</w:t>
            </w:r>
            <w:proofErr w:type="gramEnd"/>
            <w:r>
              <w:t xml:space="preserve">   </w:t>
            </w:r>
          </w:p>
          <w:p w:rsidR="00FE6093" w:rsidRDefault="00FE6093">
            <w:pPr>
              <w:pStyle w:val="ConsPlusNonformat"/>
              <w:jc w:val="both"/>
            </w:pPr>
            <w:r>
              <w:t>проектам, с внешним или внутренним подсветом;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</w:t>
            </w:r>
            <w:proofErr w:type="spellStart"/>
            <w:r>
              <w:t>имиджевые</w:t>
            </w:r>
            <w:proofErr w:type="spellEnd"/>
            <w:r>
              <w:t xml:space="preserve"> конструкции с </w:t>
            </w:r>
            <w:proofErr w:type="gramStart"/>
            <w:r>
              <w:t>внешним</w:t>
            </w:r>
            <w:proofErr w:type="gramEnd"/>
            <w:r>
              <w:t xml:space="preserve"> или        </w:t>
            </w:r>
          </w:p>
          <w:p w:rsidR="00FE6093" w:rsidRDefault="00FE6093">
            <w:pPr>
              <w:pStyle w:val="ConsPlusNonformat"/>
              <w:jc w:val="both"/>
            </w:pPr>
            <w:r>
              <w:lastRenderedPageBreak/>
              <w:t>внутренним подсветом (брендовые изображения);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в составе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остановочных пунктов движения общественного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транспорта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lastRenderedPageBreak/>
              <w:t xml:space="preserve">      8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proofErr w:type="gramStart"/>
            <w:r>
              <w:t xml:space="preserve">- экраны (светодиодные, ЖК-панели,           </w:t>
            </w:r>
            <w:proofErr w:type="gramEnd"/>
          </w:p>
          <w:p w:rsidR="00FE6093" w:rsidRDefault="00FE6093">
            <w:pPr>
              <w:pStyle w:val="ConsPlusNonformat"/>
              <w:jc w:val="both"/>
            </w:pPr>
            <w:r>
              <w:t xml:space="preserve">электронные табло) с площадью одного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менее или </w:t>
            </w:r>
            <w:proofErr w:type="gramStart"/>
            <w:r>
              <w:t>равной</w:t>
            </w:r>
            <w:proofErr w:type="gramEnd"/>
            <w:r>
              <w:t xml:space="preserve"> 10 кв. м;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проекционные установки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9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proofErr w:type="gramStart"/>
            <w:r>
              <w:t xml:space="preserve">- экраны (светодиодные, ЖК-панели,           </w:t>
            </w:r>
            <w:proofErr w:type="gramEnd"/>
          </w:p>
          <w:p w:rsidR="00FE6093" w:rsidRDefault="00FE6093">
            <w:pPr>
              <w:pStyle w:val="ConsPlusNonformat"/>
              <w:jc w:val="both"/>
            </w:pPr>
            <w:r>
              <w:t xml:space="preserve">электронные табло) с площадью одного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более 10 кв. м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10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прочие рекламные конструкции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FE6093">
        <w:trPr>
          <w:trHeight w:val="240"/>
        </w:trPr>
        <w:tc>
          <w:tcPr>
            <w:tcW w:w="1800" w:type="dxa"/>
            <w:vMerge w:val="restart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Рекламные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конструкции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на зданиях и </w:t>
            </w:r>
          </w:p>
          <w:p w:rsidR="00FE6093" w:rsidRDefault="00FE6093">
            <w:pPr>
              <w:pStyle w:val="ConsPlusNonformat"/>
              <w:jc w:val="both"/>
            </w:pPr>
            <w:proofErr w:type="gramStart"/>
            <w:r>
              <w:t>сооружениях</w:t>
            </w:r>
            <w:proofErr w:type="gramEnd"/>
            <w:r>
              <w:t xml:space="preserve">  </w:t>
            </w:r>
          </w:p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</w:t>
            </w:r>
            <w:proofErr w:type="gramStart"/>
            <w:r>
              <w:t>без</w:t>
            </w:r>
            <w:proofErr w:type="gramEnd"/>
            <w:r>
              <w:t xml:space="preserve"> автоматической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смены изображения и без подсвета;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</w:t>
            </w:r>
            <w:proofErr w:type="spellStart"/>
            <w:r>
              <w:t>флаговые</w:t>
            </w:r>
            <w:proofErr w:type="spellEnd"/>
            <w:r>
              <w:t xml:space="preserve"> композиции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менее или </w:t>
            </w:r>
            <w:proofErr w:type="gramStart"/>
            <w:r>
              <w:t>равной</w:t>
            </w:r>
            <w:proofErr w:type="gramEnd"/>
            <w:r>
              <w:t xml:space="preserve"> 18 кв. м с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внешним или внутренним подсветом, </w:t>
            </w:r>
            <w:proofErr w:type="gramStart"/>
            <w:r>
              <w:t>без</w:t>
            </w:r>
            <w:proofErr w:type="gramEnd"/>
            <w:r>
              <w:t xml:space="preserve">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автоматической смены изображения;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динамические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менее или </w:t>
            </w:r>
            <w:proofErr w:type="gramStart"/>
            <w:r>
              <w:t>равной</w:t>
            </w:r>
            <w:proofErr w:type="gramEnd"/>
            <w:r>
              <w:t xml:space="preserve"> 18 кв. м с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внешним или внутренним подсветом, </w:t>
            </w:r>
            <w:proofErr w:type="gramStart"/>
            <w:r>
              <w:t>с</w:t>
            </w:r>
            <w:proofErr w:type="gramEnd"/>
            <w:r>
              <w:t xml:space="preserve">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автоматической сменой изображения: роллер,   </w:t>
            </w:r>
          </w:p>
          <w:p w:rsidR="00FE6093" w:rsidRDefault="00FE6093">
            <w:pPr>
              <w:pStyle w:val="ConsPlusNonformat"/>
              <w:jc w:val="both"/>
            </w:pPr>
            <w:proofErr w:type="spellStart"/>
            <w:r>
              <w:t>призматрон</w:t>
            </w:r>
            <w:proofErr w:type="spellEnd"/>
            <w:r>
              <w:t xml:space="preserve"> и пр.;       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более 18 кв. м с </w:t>
            </w:r>
            <w:proofErr w:type="gramStart"/>
            <w:r>
              <w:t>внешним</w:t>
            </w:r>
            <w:proofErr w:type="gramEnd"/>
            <w:r>
              <w:t xml:space="preserve"> или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внутренним подсветом, без </w:t>
            </w:r>
            <w:proofErr w:type="gramStart"/>
            <w:r>
              <w:t>автоматической</w:t>
            </w:r>
            <w:proofErr w:type="gramEnd"/>
            <w:r>
              <w:t xml:space="preserve">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смены изображения;      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объемно-пространственные (нестандартные)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конструкции, выполненные по </w:t>
            </w:r>
            <w:proofErr w:type="gramStart"/>
            <w:r>
              <w:t>индивидуальным</w:t>
            </w:r>
            <w:proofErr w:type="gramEnd"/>
            <w:r>
              <w:t xml:space="preserve">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проектам, без подсвета; 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</w:t>
            </w:r>
            <w:proofErr w:type="spellStart"/>
            <w:r>
              <w:t>имиджевые</w:t>
            </w:r>
            <w:proofErr w:type="spellEnd"/>
            <w:r>
              <w:t xml:space="preserve"> конструкции без подсвета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(брендовые изображения);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крышные установки без подсвета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7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- рекламные конструкции с площадью одного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рекламного поля более 18 кв. м с </w:t>
            </w:r>
            <w:proofErr w:type="gramStart"/>
            <w:r>
              <w:t>внешним</w:t>
            </w:r>
            <w:proofErr w:type="gramEnd"/>
            <w:r>
              <w:t xml:space="preserve"> или </w:t>
            </w:r>
          </w:p>
          <w:p w:rsidR="00FE6093" w:rsidRDefault="00FE6093">
            <w:pPr>
              <w:pStyle w:val="ConsPlusNonformat"/>
              <w:jc w:val="both"/>
            </w:pPr>
            <w:r>
              <w:t>внутренним подсветом, с автоматической сменой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изображения: роллер, </w:t>
            </w:r>
            <w:proofErr w:type="spellStart"/>
            <w:r>
              <w:t>призматрон</w:t>
            </w:r>
            <w:proofErr w:type="spellEnd"/>
            <w:r>
              <w:t xml:space="preserve"> и пр.;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объемно-пространственные (нестандартные)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конструкции, выполненные по </w:t>
            </w:r>
            <w:proofErr w:type="gramStart"/>
            <w:r>
              <w:t>индивидуальным</w:t>
            </w:r>
            <w:proofErr w:type="gramEnd"/>
            <w:r>
              <w:t xml:space="preserve">   </w:t>
            </w:r>
          </w:p>
          <w:p w:rsidR="00FE6093" w:rsidRDefault="00FE6093">
            <w:pPr>
              <w:pStyle w:val="ConsPlusNonformat"/>
              <w:jc w:val="both"/>
            </w:pPr>
            <w:r>
              <w:t>проектам, с внешним или внутренним подсветом;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</w:t>
            </w:r>
            <w:proofErr w:type="spellStart"/>
            <w:r>
              <w:t>имиджевые</w:t>
            </w:r>
            <w:proofErr w:type="spellEnd"/>
            <w:r>
              <w:t xml:space="preserve"> конструкции с </w:t>
            </w:r>
            <w:proofErr w:type="gramStart"/>
            <w:r>
              <w:t>внешним</w:t>
            </w:r>
            <w:proofErr w:type="gramEnd"/>
            <w:r>
              <w:t xml:space="preserve"> или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внутренним подсветом (брендовые изображения)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8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proofErr w:type="gramStart"/>
            <w:r>
              <w:t xml:space="preserve">- экраны (светодиодные, ЖК-панели,           </w:t>
            </w:r>
            <w:proofErr w:type="gramEnd"/>
          </w:p>
          <w:p w:rsidR="00FE6093" w:rsidRDefault="00FE6093">
            <w:pPr>
              <w:pStyle w:val="ConsPlusNonformat"/>
              <w:jc w:val="both"/>
            </w:pPr>
            <w:r>
              <w:t xml:space="preserve">электронные табло, </w:t>
            </w:r>
            <w:proofErr w:type="spellStart"/>
            <w:r>
              <w:t>медиафасады</w:t>
            </w:r>
            <w:proofErr w:type="spellEnd"/>
            <w:r>
              <w:t xml:space="preserve">) с площадью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одного рекламного поля менее или </w:t>
            </w:r>
            <w:proofErr w:type="gramStart"/>
            <w:r>
              <w:t>равной</w:t>
            </w:r>
            <w:proofErr w:type="gramEnd"/>
            <w:r>
              <w:t xml:space="preserve"> 10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кв. м;                                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проекционные установки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9 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proofErr w:type="gramStart"/>
            <w:r>
              <w:t xml:space="preserve">- экраны (светодиодные, ЖК-панели,           </w:t>
            </w:r>
            <w:proofErr w:type="gramEnd"/>
          </w:p>
          <w:p w:rsidR="00FE6093" w:rsidRDefault="00FE6093">
            <w:pPr>
              <w:pStyle w:val="ConsPlusNonformat"/>
              <w:jc w:val="both"/>
            </w:pPr>
            <w:r>
              <w:t xml:space="preserve">электронные табло, </w:t>
            </w:r>
            <w:proofErr w:type="spellStart"/>
            <w:r>
              <w:t>медиафасады</w:t>
            </w:r>
            <w:proofErr w:type="spellEnd"/>
            <w:r>
              <w:t xml:space="preserve">) с площадью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одного рекламного поля более 10 кв. м;       </w:t>
            </w:r>
          </w:p>
          <w:p w:rsidR="00FE6093" w:rsidRDefault="00FE6093">
            <w:pPr>
              <w:pStyle w:val="ConsPlusNonformat"/>
              <w:jc w:val="both"/>
            </w:pPr>
            <w:r>
              <w:t xml:space="preserve">- крышные установки с подсветом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10      </w:t>
            </w:r>
          </w:p>
        </w:tc>
      </w:tr>
      <w:tr w:rsidR="00FE6093">
        <w:tc>
          <w:tcPr>
            <w:tcW w:w="1680" w:type="dxa"/>
            <w:vMerge/>
            <w:tcBorders>
              <w:top w:val="nil"/>
            </w:tcBorders>
          </w:tcPr>
          <w:p w:rsidR="00FE6093" w:rsidRDefault="00FE6093"/>
        </w:tc>
        <w:tc>
          <w:tcPr>
            <w:tcW w:w="564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прочие рекламные конструкции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E6093" w:rsidRDefault="00FE6093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</w:tbl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ind w:firstLine="540"/>
        <w:jc w:val="both"/>
      </w:pPr>
    </w:p>
    <w:p w:rsidR="00FE6093" w:rsidRDefault="00FE6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FDF" w:rsidRDefault="005E7FDF"/>
    <w:sectPr w:rsidR="005E7FDF" w:rsidSect="0017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93"/>
    <w:rsid w:val="005E7FDF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042E3D33F0DC2F00CADFC02C4EA73E78FE924CBA738055D51F0CF90443CBA8E1B92D9B6C40D5E2nCj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0</DocSecurity>
  <Lines>49</Lines>
  <Paragraphs>13</Paragraphs>
  <ScaleCrop>false</ScaleCrop>
  <Company>ДИЗО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М. Иванова</dc:creator>
  <cp:lastModifiedBy>Мария М. Иванова</cp:lastModifiedBy>
  <cp:revision>1</cp:revision>
  <dcterms:created xsi:type="dcterms:W3CDTF">2017-10-26T05:35:00Z</dcterms:created>
  <dcterms:modified xsi:type="dcterms:W3CDTF">2017-10-26T05:36:00Z</dcterms:modified>
</cp:coreProperties>
</file>